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8832D76" w14:textId="77777777" w:rsidR="00DE511E" w:rsidRPr="00EC1B14" w:rsidRDefault="00DE511E" w:rsidP="00D25F24">
      <w:pPr>
        <w:spacing w:before="120" w:afterLines="120" w:after="288" w:line="240" w:lineRule="auto"/>
        <w:jc w:val="both"/>
        <w:rPr>
          <w:rFonts w:ascii="Arial" w:eastAsia="Arial" w:hAnsi="Arial" w:cs="Arial"/>
          <w:b/>
          <w:bCs/>
        </w:rPr>
      </w:pPr>
      <w:bookmarkStart w:id="0" w:name="_Hlk157200462"/>
    </w:p>
    <w:p w14:paraId="24A45116" w14:textId="7B2F2E24" w:rsidR="00DE511E" w:rsidRPr="00EC1B14" w:rsidRDefault="00DE511E" w:rsidP="00D25F24">
      <w:pPr>
        <w:spacing w:before="120" w:afterLines="120" w:after="288" w:line="240" w:lineRule="auto"/>
        <w:jc w:val="both"/>
        <w:rPr>
          <w:rFonts w:ascii="Arial" w:eastAsia="Arial" w:hAnsi="Arial" w:cs="Arial"/>
          <w:b/>
          <w:bCs/>
        </w:rPr>
      </w:pPr>
    </w:p>
    <w:p w14:paraId="05FD6216" w14:textId="7FCC9CB5" w:rsidR="00DE511E" w:rsidRPr="00EC1B14" w:rsidRDefault="0017369A" w:rsidP="00D25F24">
      <w:pPr>
        <w:spacing w:before="120" w:afterLines="120" w:after="288" w:line="240" w:lineRule="auto"/>
        <w:jc w:val="both"/>
        <w:rPr>
          <w:rFonts w:ascii="Arial" w:eastAsia="Arial" w:hAnsi="Arial" w:cs="Arial"/>
          <w:b/>
          <w:bCs/>
        </w:rPr>
      </w:pPr>
      <w:r w:rsidRPr="00EC1B14">
        <w:rPr>
          <w:rFonts w:ascii="Arial" w:hAnsi="Arial" w:cs="Arial"/>
          <w:noProof/>
        </w:rPr>
        <w:drawing>
          <wp:anchor distT="0" distB="0" distL="114300" distR="114300" simplePos="0" relativeHeight="251658240" behindDoc="0" locked="0" layoutInCell="1" allowOverlap="1" wp14:anchorId="061E6C4D" wp14:editId="51E34585">
            <wp:simplePos x="0" y="0"/>
            <wp:positionH relativeFrom="margin">
              <wp:posOffset>3380740</wp:posOffset>
            </wp:positionH>
            <wp:positionV relativeFrom="margin">
              <wp:posOffset>1184910</wp:posOffset>
            </wp:positionV>
            <wp:extent cx="2072005" cy="509905"/>
            <wp:effectExtent l="0" t="0" r="4445" b="4445"/>
            <wp:wrapSquare wrapText="bothSides"/>
            <wp:docPr id="578413218" name="Picture 578413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159624" name="DAI"/>
                    <pic:cNvPicPr/>
                  </pic:nvPicPr>
                  <pic:blipFill>
                    <a:blip r:embed="rId11">
                      <a:extLst>
                        <a:ext uri="{28A0092B-C50C-407E-A947-70E740481C1C}">
                          <a14:useLocalDpi xmlns:a14="http://schemas.microsoft.com/office/drawing/2010/main"/>
                        </a:ext>
                      </a:extLst>
                    </a:blip>
                    <a:stretch>
                      <a:fillRect/>
                    </a:stretch>
                  </pic:blipFill>
                  <pic:spPr>
                    <a:xfrm>
                      <a:off x="0" y="0"/>
                      <a:ext cx="2072005" cy="509905"/>
                    </a:xfrm>
                    <a:prstGeom prst="rect">
                      <a:avLst/>
                    </a:prstGeom>
                  </pic:spPr>
                </pic:pic>
              </a:graphicData>
            </a:graphic>
            <wp14:sizeRelH relativeFrom="margin">
              <wp14:pctWidth>0</wp14:pctWidth>
            </wp14:sizeRelH>
            <wp14:sizeRelV relativeFrom="margin">
              <wp14:pctHeight>0</wp14:pctHeight>
            </wp14:sizeRelV>
          </wp:anchor>
        </w:drawing>
      </w:r>
      <w:r w:rsidRPr="00EC1B14">
        <w:rPr>
          <w:rFonts w:ascii="Arial" w:hAnsi="Arial" w:cs="Arial"/>
          <w:noProof/>
        </w:rPr>
        <w:drawing>
          <wp:anchor distT="0" distB="0" distL="114300" distR="114300" simplePos="0" relativeHeight="251658241" behindDoc="0" locked="0" layoutInCell="1" allowOverlap="1" wp14:anchorId="65D508B6" wp14:editId="12EAB9B6">
            <wp:simplePos x="0" y="0"/>
            <wp:positionH relativeFrom="margin">
              <wp:posOffset>1892300</wp:posOffset>
            </wp:positionH>
            <wp:positionV relativeFrom="margin">
              <wp:posOffset>962025</wp:posOffset>
            </wp:positionV>
            <wp:extent cx="1362075" cy="843280"/>
            <wp:effectExtent l="0" t="0" r="9525" b="0"/>
            <wp:wrapSquare wrapText="bothSides"/>
            <wp:docPr id="545027548" name="Picture 545027548" descr="A flag with a flag and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391324" name="Germany" descr="A flag with a flag and text&#10;&#10;Description automatically generated with medium confidence"/>
                    <pic:cNvPicPr/>
                  </pic:nvPicPr>
                  <pic:blipFill>
                    <a:blip r:embed="rId12">
                      <a:extLst>
                        <a:ext uri="{28A0092B-C50C-407E-A947-70E740481C1C}">
                          <a14:useLocalDpi xmlns:a14="http://schemas.microsoft.com/office/drawing/2010/main"/>
                        </a:ext>
                      </a:extLst>
                    </a:blip>
                    <a:stretch>
                      <a:fillRect/>
                    </a:stretch>
                  </pic:blipFill>
                  <pic:spPr>
                    <a:xfrm>
                      <a:off x="0" y="0"/>
                      <a:ext cx="1362075" cy="843280"/>
                    </a:xfrm>
                    <a:prstGeom prst="rect">
                      <a:avLst/>
                    </a:prstGeom>
                  </pic:spPr>
                </pic:pic>
              </a:graphicData>
            </a:graphic>
            <wp14:sizeRelH relativeFrom="margin">
              <wp14:pctWidth>0</wp14:pctWidth>
            </wp14:sizeRelH>
            <wp14:sizeRelV relativeFrom="margin">
              <wp14:pctHeight>0</wp14:pctHeight>
            </wp14:sizeRelV>
          </wp:anchor>
        </w:drawing>
      </w:r>
      <w:r w:rsidRPr="00EC1B14">
        <w:rPr>
          <w:rFonts w:ascii="Arial" w:hAnsi="Arial" w:cs="Arial"/>
          <w:noProof/>
        </w:rPr>
        <w:drawing>
          <wp:anchor distT="0" distB="0" distL="114300" distR="114300" simplePos="0" relativeHeight="251658242" behindDoc="0" locked="0" layoutInCell="1" allowOverlap="1" wp14:anchorId="240DCB33" wp14:editId="7EB578DD">
            <wp:simplePos x="0" y="0"/>
            <wp:positionH relativeFrom="margin">
              <wp:posOffset>0</wp:posOffset>
            </wp:positionH>
            <wp:positionV relativeFrom="margin">
              <wp:posOffset>962772</wp:posOffset>
            </wp:positionV>
            <wp:extent cx="1976755" cy="981710"/>
            <wp:effectExtent l="0" t="0" r="4445" b="8890"/>
            <wp:wrapSquare wrapText="bothSides"/>
            <wp:docPr id="591186696" name="Picture 591186696" descr="A logo of a european investment ban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256893" name="EIB" descr="A logo of a european investment bank&#10;&#10;Description automatically generated"/>
                    <pic:cNvPicPr/>
                  </pic:nvPicPr>
                  <pic:blipFill>
                    <a:blip r:embed="rId13" cstate="print">
                      <a:extLst>
                        <a:ext uri="{28A0092B-C50C-407E-A947-70E740481C1C}">
                          <a14:useLocalDpi xmlns:a14="http://schemas.microsoft.com/office/drawing/2010/main"/>
                        </a:ext>
                      </a:extLst>
                    </a:blip>
                    <a:stretch>
                      <a:fillRect/>
                    </a:stretch>
                  </pic:blipFill>
                  <pic:spPr>
                    <a:xfrm>
                      <a:off x="0" y="0"/>
                      <a:ext cx="1976755" cy="981710"/>
                    </a:xfrm>
                    <a:prstGeom prst="rect">
                      <a:avLst/>
                    </a:prstGeom>
                  </pic:spPr>
                </pic:pic>
              </a:graphicData>
            </a:graphic>
            <wp14:sizeRelH relativeFrom="margin">
              <wp14:pctWidth>0</wp14:pctWidth>
            </wp14:sizeRelH>
            <wp14:sizeRelV relativeFrom="margin">
              <wp14:pctHeight>0</wp14:pctHeight>
            </wp14:sizeRelV>
          </wp:anchor>
        </w:drawing>
      </w:r>
    </w:p>
    <w:p w14:paraId="10FC0AAE" w14:textId="1FDA5774" w:rsidR="00DE511E" w:rsidRPr="00EC1B14" w:rsidRDefault="00DE511E" w:rsidP="00D25F24">
      <w:pPr>
        <w:spacing w:before="120" w:afterLines="120" w:after="288" w:line="240" w:lineRule="auto"/>
        <w:jc w:val="both"/>
        <w:rPr>
          <w:rFonts w:ascii="Arial" w:eastAsia="Arial" w:hAnsi="Arial" w:cs="Arial"/>
          <w:b/>
          <w:bCs/>
        </w:rPr>
      </w:pPr>
    </w:p>
    <w:p w14:paraId="2E7B2D6D" w14:textId="77777777" w:rsidR="00855E6B" w:rsidRPr="00EC1B14" w:rsidRDefault="00855E6B" w:rsidP="00D25F24">
      <w:pPr>
        <w:spacing w:before="120" w:afterLines="120" w:after="288" w:line="240" w:lineRule="auto"/>
        <w:jc w:val="both"/>
        <w:rPr>
          <w:rFonts w:ascii="Arial" w:eastAsia="Arial" w:hAnsi="Arial" w:cs="Arial"/>
          <w:b/>
          <w:bCs/>
        </w:rPr>
      </w:pPr>
    </w:p>
    <w:p w14:paraId="7148FE32" w14:textId="77777777" w:rsidR="000332F6" w:rsidRPr="00EC1B14" w:rsidRDefault="000332F6" w:rsidP="00D25F24">
      <w:pPr>
        <w:spacing w:before="120" w:afterLines="120" w:after="288" w:line="240" w:lineRule="auto"/>
        <w:jc w:val="center"/>
        <w:rPr>
          <w:rFonts w:ascii="Arial" w:hAnsi="Arial" w:cs="Arial"/>
          <w:b/>
          <w:color w:val="002060"/>
          <w:sz w:val="24"/>
        </w:rPr>
      </w:pPr>
      <w:r w:rsidRPr="00EC1B14">
        <w:rPr>
          <w:rFonts w:ascii="Arial" w:hAnsi="Arial" w:cs="Arial"/>
          <w:b/>
          <w:color w:val="002060"/>
          <w:sz w:val="24"/>
        </w:rPr>
        <w:t>European Investment Bank (EIB)</w:t>
      </w:r>
    </w:p>
    <w:p w14:paraId="52A90C3E" w14:textId="77777777" w:rsidR="000332F6" w:rsidRPr="00EC1B14" w:rsidRDefault="000332F6" w:rsidP="00D25F24">
      <w:pPr>
        <w:spacing w:before="120" w:afterLines="120" w:after="288" w:line="240" w:lineRule="auto"/>
        <w:jc w:val="center"/>
        <w:rPr>
          <w:rFonts w:ascii="Arial" w:eastAsia="Arial" w:hAnsi="Arial" w:cs="Arial"/>
          <w:b/>
          <w:bCs/>
          <w:sz w:val="24"/>
          <w:szCs w:val="24"/>
        </w:rPr>
      </w:pPr>
      <w:r w:rsidRPr="00EC1B14">
        <w:rPr>
          <w:rFonts w:ascii="Arial" w:eastAsia="Arial" w:hAnsi="Arial" w:cs="Arial"/>
          <w:b/>
          <w:bCs/>
          <w:sz w:val="24"/>
          <w:szCs w:val="24"/>
        </w:rPr>
        <w:t>Greening Financial Systems Technical Assistance Programme</w:t>
      </w:r>
    </w:p>
    <w:p w14:paraId="3A479891" w14:textId="77777777" w:rsidR="000332F6" w:rsidRPr="00EC1B14" w:rsidRDefault="000332F6" w:rsidP="00D25F24">
      <w:pPr>
        <w:spacing w:before="120" w:afterLines="120" w:after="288" w:line="240" w:lineRule="auto"/>
        <w:jc w:val="center"/>
        <w:rPr>
          <w:rFonts w:ascii="Arial" w:eastAsia="Arial" w:hAnsi="Arial" w:cs="Arial"/>
          <w:b/>
          <w:bCs/>
          <w:sz w:val="24"/>
          <w:szCs w:val="24"/>
        </w:rPr>
      </w:pPr>
      <w:r w:rsidRPr="00EC1B14">
        <w:rPr>
          <w:rFonts w:ascii="Arial" w:eastAsia="Arial" w:hAnsi="Arial" w:cs="Arial"/>
          <w:b/>
          <w:bCs/>
          <w:sz w:val="24"/>
          <w:szCs w:val="24"/>
        </w:rPr>
        <w:t>Central Bank of Kenya</w:t>
      </w:r>
    </w:p>
    <w:p w14:paraId="24DFA3DF" w14:textId="77777777" w:rsidR="00955B00" w:rsidRPr="00EC1B14" w:rsidRDefault="00955B00" w:rsidP="00D25F24">
      <w:pPr>
        <w:spacing w:before="120" w:afterLines="120" w:after="288" w:line="240" w:lineRule="auto"/>
        <w:jc w:val="center"/>
        <w:rPr>
          <w:rFonts w:ascii="Arial" w:eastAsia="Arial" w:hAnsi="Arial" w:cs="Arial"/>
          <w:b/>
          <w:bCs/>
          <w:sz w:val="24"/>
          <w:szCs w:val="24"/>
        </w:rPr>
      </w:pPr>
    </w:p>
    <w:p w14:paraId="02FFA305" w14:textId="77777777" w:rsidR="00955B00" w:rsidRPr="00EC1B14" w:rsidRDefault="00955B00" w:rsidP="00D25F24">
      <w:pPr>
        <w:spacing w:before="120" w:afterLines="120" w:after="288" w:line="240" w:lineRule="auto"/>
        <w:jc w:val="center"/>
        <w:rPr>
          <w:rFonts w:ascii="Arial" w:eastAsia="Arial" w:hAnsi="Arial" w:cs="Arial"/>
          <w:b/>
          <w:bCs/>
          <w:sz w:val="24"/>
          <w:szCs w:val="24"/>
        </w:rPr>
      </w:pPr>
    </w:p>
    <w:p w14:paraId="2259E291" w14:textId="77777777" w:rsidR="00955B00" w:rsidRPr="00EC1B14" w:rsidRDefault="00955B00" w:rsidP="00D25F24">
      <w:pPr>
        <w:spacing w:before="120" w:afterLines="120" w:after="288" w:line="240" w:lineRule="auto"/>
        <w:jc w:val="center"/>
        <w:rPr>
          <w:rFonts w:ascii="Arial" w:eastAsia="Arial" w:hAnsi="Arial" w:cs="Arial"/>
          <w:b/>
          <w:bCs/>
          <w:sz w:val="24"/>
          <w:szCs w:val="24"/>
        </w:rPr>
      </w:pPr>
    </w:p>
    <w:p w14:paraId="092665DF" w14:textId="77777777" w:rsidR="00955B00" w:rsidRPr="00EC1B14" w:rsidRDefault="00955B00" w:rsidP="00D25F24">
      <w:pPr>
        <w:spacing w:before="120" w:afterLines="120" w:after="288" w:line="240" w:lineRule="auto"/>
        <w:jc w:val="center"/>
        <w:rPr>
          <w:rFonts w:ascii="Arial" w:eastAsia="Arial" w:hAnsi="Arial" w:cs="Arial"/>
          <w:b/>
          <w:bCs/>
          <w:sz w:val="24"/>
          <w:szCs w:val="24"/>
        </w:rPr>
      </w:pPr>
    </w:p>
    <w:p w14:paraId="38BCA10B" w14:textId="77777777" w:rsidR="00955B00" w:rsidRPr="00EC1B14" w:rsidRDefault="00955B00" w:rsidP="00D25F24">
      <w:pPr>
        <w:spacing w:before="120" w:afterLines="120" w:after="288" w:line="240" w:lineRule="auto"/>
        <w:jc w:val="center"/>
        <w:rPr>
          <w:rFonts w:ascii="Arial" w:eastAsia="Arial" w:hAnsi="Arial" w:cs="Arial"/>
          <w:b/>
          <w:bCs/>
          <w:sz w:val="24"/>
          <w:szCs w:val="24"/>
        </w:rPr>
      </w:pPr>
    </w:p>
    <w:p w14:paraId="09AF1409" w14:textId="38793EA6" w:rsidR="000332F6" w:rsidRPr="00EC1B14" w:rsidRDefault="006F174F" w:rsidP="00D25F24">
      <w:pPr>
        <w:spacing w:before="120" w:afterLines="120" w:after="288" w:line="240" w:lineRule="auto"/>
        <w:jc w:val="center"/>
        <w:rPr>
          <w:rFonts w:ascii="Arial" w:eastAsia="Arial" w:hAnsi="Arial" w:cs="Arial"/>
          <w:b/>
          <w:bCs/>
          <w:sz w:val="24"/>
          <w:szCs w:val="24"/>
        </w:rPr>
      </w:pPr>
      <w:r w:rsidRPr="00EC1B14">
        <w:rPr>
          <w:rFonts w:ascii="Arial" w:hAnsi="Arial" w:cs="Arial"/>
          <w:b/>
          <w:color w:val="000000"/>
          <w:sz w:val="36"/>
          <w:shd w:val="clear" w:color="auto" w:fill="FFFFFF"/>
        </w:rPr>
        <w:t xml:space="preserve">Identification of the characteristics of the Kenyan economy that are most affected by climate risks, disaggregated </w:t>
      </w:r>
      <w:r w:rsidR="00721985" w:rsidRPr="00EC1B14">
        <w:rPr>
          <w:rFonts w:ascii="Arial" w:hAnsi="Arial" w:cs="Arial"/>
          <w:b/>
          <w:color w:val="000000"/>
          <w:sz w:val="36"/>
          <w:shd w:val="clear" w:color="auto" w:fill="FFFFFF"/>
        </w:rPr>
        <w:t xml:space="preserve">into </w:t>
      </w:r>
      <w:r w:rsidRPr="00EC1B14">
        <w:rPr>
          <w:rFonts w:ascii="Arial" w:hAnsi="Arial" w:cs="Arial"/>
          <w:b/>
          <w:color w:val="000000"/>
          <w:sz w:val="36"/>
          <w:shd w:val="clear" w:color="auto" w:fill="FFFFFF"/>
        </w:rPr>
        <w:t>physical and transition climate risks</w:t>
      </w:r>
    </w:p>
    <w:p w14:paraId="4CE4C575" w14:textId="6E5467D6" w:rsidR="000332F6" w:rsidRPr="00EC1B14" w:rsidRDefault="00BB17CF" w:rsidP="00D25F24">
      <w:pPr>
        <w:spacing w:before="120" w:afterLines="120" w:after="288" w:line="240" w:lineRule="auto"/>
        <w:jc w:val="center"/>
        <w:rPr>
          <w:rFonts w:ascii="Arial" w:eastAsia="Arial" w:hAnsi="Arial" w:cs="Arial"/>
          <w:b/>
          <w:bCs/>
          <w:sz w:val="24"/>
          <w:szCs w:val="24"/>
        </w:rPr>
      </w:pPr>
      <w:r w:rsidRPr="00EC1B14">
        <w:rPr>
          <w:rFonts w:ascii="Arial" w:eastAsia="Arial" w:hAnsi="Arial" w:cs="Arial"/>
          <w:b/>
          <w:bCs/>
          <w:sz w:val="24"/>
          <w:szCs w:val="24"/>
        </w:rPr>
        <w:t>2</w:t>
      </w:r>
      <w:r w:rsidR="0015009A" w:rsidRPr="00EC1B14">
        <w:rPr>
          <w:rFonts w:ascii="Arial" w:eastAsia="Arial" w:hAnsi="Arial" w:cs="Arial"/>
          <w:b/>
          <w:bCs/>
          <w:sz w:val="24"/>
          <w:szCs w:val="24"/>
        </w:rPr>
        <w:t>4</w:t>
      </w:r>
      <w:r w:rsidRPr="00EC1B14">
        <w:rPr>
          <w:rFonts w:ascii="Arial" w:eastAsia="Arial" w:hAnsi="Arial" w:cs="Arial"/>
          <w:b/>
          <w:bCs/>
          <w:sz w:val="24"/>
          <w:szCs w:val="24"/>
        </w:rPr>
        <w:t>.</w:t>
      </w:r>
      <w:r w:rsidR="0015009A" w:rsidRPr="00EC1B14">
        <w:rPr>
          <w:rFonts w:ascii="Arial" w:eastAsia="Arial" w:hAnsi="Arial" w:cs="Arial"/>
          <w:b/>
          <w:bCs/>
          <w:sz w:val="24"/>
          <w:szCs w:val="24"/>
        </w:rPr>
        <w:t>6</w:t>
      </w:r>
      <w:r w:rsidRPr="00EC1B14">
        <w:rPr>
          <w:rFonts w:ascii="Arial" w:eastAsia="Arial" w:hAnsi="Arial" w:cs="Arial"/>
          <w:b/>
          <w:bCs/>
          <w:sz w:val="24"/>
          <w:szCs w:val="24"/>
        </w:rPr>
        <w:t>.2022</w:t>
      </w:r>
    </w:p>
    <w:p w14:paraId="35AE6070" w14:textId="77777777" w:rsidR="000332F6" w:rsidRPr="00EC1B14" w:rsidRDefault="000332F6" w:rsidP="00D25F24">
      <w:pPr>
        <w:spacing w:before="120" w:afterLines="120" w:after="288" w:line="240" w:lineRule="auto"/>
        <w:jc w:val="center"/>
        <w:rPr>
          <w:rFonts w:ascii="Arial" w:eastAsia="Arial" w:hAnsi="Arial" w:cs="Arial"/>
          <w:b/>
          <w:bCs/>
          <w:sz w:val="24"/>
          <w:szCs w:val="24"/>
        </w:rPr>
      </w:pPr>
    </w:p>
    <w:p w14:paraId="5C55D6C0" w14:textId="77777777" w:rsidR="000332F6" w:rsidRPr="00EC1B14" w:rsidRDefault="000332F6" w:rsidP="00D25F24">
      <w:pPr>
        <w:spacing w:before="120" w:afterLines="120" w:after="288" w:line="240" w:lineRule="auto"/>
        <w:jc w:val="center"/>
        <w:rPr>
          <w:rFonts w:ascii="Arial" w:eastAsia="Arial" w:hAnsi="Arial" w:cs="Arial"/>
          <w:b/>
          <w:bCs/>
          <w:sz w:val="24"/>
          <w:szCs w:val="24"/>
        </w:rPr>
      </w:pPr>
    </w:p>
    <w:p w14:paraId="310B26D6" w14:textId="77777777" w:rsidR="000332F6" w:rsidRPr="00EC1B14" w:rsidRDefault="000332F6" w:rsidP="00D25F24">
      <w:pPr>
        <w:spacing w:before="120" w:afterLines="120" w:after="288" w:line="240" w:lineRule="auto"/>
        <w:jc w:val="center"/>
        <w:rPr>
          <w:rFonts w:ascii="Arial" w:eastAsia="Arial" w:hAnsi="Arial" w:cs="Arial"/>
          <w:b/>
          <w:bCs/>
          <w:sz w:val="24"/>
          <w:szCs w:val="24"/>
        </w:rPr>
      </w:pPr>
    </w:p>
    <w:p w14:paraId="3B0027FE" w14:textId="77777777" w:rsidR="000332F6" w:rsidRPr="00EC1B14" w:rsidRDefault="000332F6" w:rsidP="00D25F24">
      <w:pPr>
        <w:spacing w:before="120" w:afterLines="120" w:after="288" w:line="240" w:lineRule="auto"/>
        <w:jc w:val="center"/>
        <w:rPr>
          <w:rFonts w:ascii="Arial" w:eastAsia="Arial" w:hAnsi="Arial" w:cs="Arial"/>
          <w:b/>
          <w:bCs/>
          <w:sz w:val="24"/>
          <w:szCs w:val="24"/>
        </w:rPr>
      </w:pPr>
    </w:p>
    <w:p w14:paraId="13E54ED5" w14:textId="77777777" w:rsidR="000332F6" w:rsidRPr="00EC1B14" w:rsidRDefault="000332F6" w:rsidP="00D25F24">
      <w:pPr>
        <w:spacing w:before="120" w:afterLines="120" w:after="288" w:line="240" w:lineRule="auto"/>
        <w:jc w:val="center"/>
        <w:rPr>
          <w:rFonts w:ascii="Arial" w:eastAsia="Arial" w:hAnsi="Arial" w:cs="Arial"/>
          <w:b/>
          <w:bCs/>
          <w:sz w:val="24"/>
          <w:szCs w:val="24"/>
        </w:rPr>
      </w:pPr>
    </w:p>
    <w:p w14:paraId="00D8ED23" w14:textId="77777777" w:rsidR="000332F6" w:rsidRPr="00EC1B14" w:rsidRDefault="000332F6" w:rsidP="0015009A">
      <w:pPr>
        <w:spacing w:before="120" w:afterLines="120" w:after="288" w:line="276" w:lineRule="auto"/>
        <w:jc w:val="both"/>
        <w:rPr>
          <w:rFonts w:ascii="Arial" w:eastAsia="Arial" w:hAnsi="Arial" w:cs="Arial"/>
          <w:b/>
          <w:bCs/>
        </w:rPr>
      </w:pPr>
    </w:p>
    <w:p w14:paraId="782D9B55" w14:textId="77777777" w:rsidR="000332F6" w:rsidRPr="00EC1B14" w:rsidRDefault="000332F6" w:rsidP="0015009A">
      <w:pPr>
        <w:spacing w:before="120" w:afterLines="120" w:after="288" w:line="276" w:lineRule="auto"/>
        <w:jc w:val="both"/>
        <w:rPr>
          <w:rFonts w:ascii="Arial" w:eastAsia="Arial" w:hAnsi="Arial" w:cs="Arial"/>
          <w:b/>
          <w:bCs/>
        </w:rPr>
        <w:sectPr w:rsidR="000332F6" w:rsidRPr="00EC1B14" w:rsidSect="00CF021E">
          <w:headerReference w:type="even" r:id="rId14"/>
          <w:headerReference w:type="default" r:id="rId15"/>
          <w:footerReference w:type="even" r:id="rId16"/>
          <w:footerReference w:type="default" r:id="rId17"/>
          <w:headerReference w:type="first" r:id="rId18"/>
          <w:footerReference w:type="first" r:id="rId19"/>
          <w:pgSz w:w="11906" w:h="16838"/>
          <w:pgMar w:top="1440" w:right="1440" w:bottom="1440" w:left="1440" w:header="708" w:footer="708" w:gutter="0"/>
          <w:pgNumType w:start="1"/>
          <w:cols w:space="720"/>
        </w:sectPr>
      </w:pPr>
    </w:p>
    <w:p w14:paraId="12671E5B" w14:textId="485F9B19" w:rsidR="00E64C45" w:rsidRPr="00EC1B14" w:rsidRDefault="00E64C45" w:rsidP="0015009A">
      <w:pPr>
        <w:spacing w:before="120" w:afterLines="120" w:after="288" w:line="276" w:lineRule="auto"/>
        <w:jc w:val="both"/>
        <w:rPr>
          <w:rFonts w:ascii="Arial" w:hAnsi="Arial" w:cs="Arial"/>
          <w:b/>
          <w:bCs/>
        </w:rPr>
      </w:pPr>
      <w:r w:rsidRPr="00EC1B14">
        <w:rPr>
          <w:rFonts w:ascii="Arial" w:hAnsi="Arial" w:cs="Arial"/>
          <w:b/>
          <w:bCs/>
        </w:rPr>
        <w:lastRenderedPageBreak/>
        <w:t>Table of Contents</w:t>
      </w:r>
    </w:p>
    <w:sdt>
      <w:sdtPr>
        <w:rPr>
          <w:rFonts w:ascii="Arial" w:hAnsi="Arial" w:cs="Arial"/>
        </w:rPr>
        <w:id w:val="1988661436"/>
        <w:docPartObj>
          <w:docPartGallery w:val="Table of Contents"/>
          <w:docPartUnique/>
        </w:docPartObj>
      </w:sdtPr>
      <w:sdtContent>
        <w:p w14:paraId="1B523560" w14:textId="6C4FC970" w:rsidR="00E02F34" w:rsidRDefault="00E64C45">
          <w:pPr>
            <w:pStyle w:val="TOC1"/>
            <w:tabs>
              <w:tab w:val="right" w:leader="dot" w:pos="9016"/>
            </w:tabs>
            <w:rPr>
              <w:rFonts w:eastAsiaTheme="minorEastAsia"/>
              <w:noProof/>
              <w:sz w:val="24"/>
              <w:szCs w:val="24"/>
              <w:lang w:eastAsia="en-GB"/>
            </w:rPr>
          </w:pPr>
          <w:r w:rsidRPr="00EC1B14">
            <w:rPr>
              <w:rFonts w:ascii="Arial" w:hAnsi="Arial" w:cs="Arial"/>
            </w:rPr>
            <w:fldChar w:fldCharType="begin"/>
          </w:r>
          <w:r w:rsidRPr="00EC1B14">
            <w:rPr>
              <w:rFonts w:ascii="Arial" w:hAnsi="Arial" w:cs="Arial"/>
            </w:rPr>
            <w:instrText xml:space="preserve"> TOC \o "1-3" \h \z \u </w:instrText>
          </w:r>
          <w:r w:rsidRPr="00EC1B14">
            <w:rPr>
              <w:rFonts w:ascii="Arial" w:hAnsi="Arial" w:cs="Arial"/>
            </w:rPr>
            <w:fldChar w:fldCharType="separate"/>
          </w:r>
          <w:hyperlink w:anchor="_Toc171906991" w:history="1">
            <w:r w:rsidR="00E02F34" w:rsidRPr="0001788B">
              <w:rPr>
                <w:rStyle w:val="Hyperlink"/>
                <w:rFonts w:ascii="Arial" w:hAnsi="Arial" w:cs="Arial"/>
                <w:b/>
                <w:bCs/>
                <w:noProof/>
              </w:rPr>
              <w:t>Executive Summary</w:t>
            </w:r>
            <w:r w:rsidR="00E02F34">
              <w:rPr>
                <w:noProof/>
                <w:webHidden/>
              </w:rPr>
              <w:tab/>
            </w:r>
            <w:r w:rsidR="00E02F34">
              <w:rPr>
                <w:noProof/>
                <w:webHidden/>
              </w:rPr>
              <w:fldChar w:fldCharType="begin"/>
            </w:r>
            <w:r w:rsidR="00E02F34">
              <w:rPr>
                <w:noProof/>
                <w:webHidden/>
              </w:rPr>
              <w:instrText xml:space="preserve"> PAGEREF _Toc171906991 \h </w:instrText>
            </w:r>
            <w:r w:rsidR="00E02F34">
              <w:rPr>
                <w:noProof/>
                <w:webHidden/>
              </w:rPr>
            </w:r>
            <w:r w:rsidR="00E02F34">
              <w:rPr>
                <w:noProof/>
                <w:webHidden/>
              </w:rPr>
              <w:fldChar w:fldCharType="separate"/>
            </w:r>
            <w:r w:rsidR="00FD6222">
              <w:rPr>
                <w:noProof/>
                <w:webHidden/>
              </w:rPr>
              <w:t>2</w:t>
            </w:r>
            <w:r w:rsidR="00E02F34">
              <w:rPr>
                <w:noProof/>
                <w:webHidden/>
              </w:rPr>
              <w:fldChar w:fldCharType="end"/>
            </w:r>
          </w:hyperlink>
        </w:p>
        <w:p w14:paraId="3BD66104" w14:textId="591451A2" w:rsidR="00E02F34" w:rsidRDefault="00E02F34">
          <w:pPr>
            <w:pStyle w:val="TOC1"/>
            <w:tabs>
              <w:tab w:val="left" w:pos="440"/>
              <w:tab w:val="right" w:leader="dot" w:pos="9016"/>
            </w:tabs>
            <w:rPr>
              <w:rFonts w:eastAsiaTheme="minorEastAsia"/>
              <w:noProof/>
              <w:sz w:val="24"/>
              <w:szCs w:val="24"/>
              <w:lang w:eastAsia="en-GB"/>
            </w:rPr>
          </w:pPr>
          <w:hyperlink w:anchor="_Toc171906992" w:history="1">
            <w:r w:rsidRPr="0001788B">
              <w:rPr>
                <w:rStyle w:val="Hyperlink"/>
                <w:rFonts w:ascii="Arial" w:hAnsi="Arial" w:cs="Arial"/>
                <w:b/>
                <w:bCs/>
                <w:noProof/>
              </w:rPr>
              <w:t>1.</w:t>
            </w:r>
            <w:r>
              <w:rPr>
                <w:rFonts w:eastAsiaTheme="minorEastAsia"/>
                <w:noProof/>
                <w:sz w:val="24"/>
                <w:szCs w:val="24"/>
                <w:lang w:eastAsia="en-GB"/>
              </w:rPr>
              <w:tab/>
            </w:r>
            <w:r w:rsidRPr="0001788B">
              <w:rPr>
                <w:rStyle w:val="Hyperlink"/>
                <w:rFonts w:ascii="Arial" w:hAnsi="Arial" w:cs="Arial"/>
                <w:b/>
                <w:bCs/>
                <w:noProof/>
              </w:rPr>
              <w:t>Introduction</w:t>
            </w:r>
            <w:r>
              <w:rPr>
                <w:noProof/>
                <w:webHidden/>
              </w:rPr>
              <w:tab/>
            </w:r>
            <w:r>
              <w:rPr>
                <w:noProof/>
                <w:webHidden/>
              </w:rPr>
              <w:fldChar w:fldCharType="begin"/>
            </w:r>
            <w:r>
              <w:rPr>
                <w:noProof/>
                <w:webHidden/>
              </w:rPr>
              <w:instrText xml:space="preserve"> PAGEREF _Toc171906992 \h </w:instrText>
            </w:r>
            <w:r>
              <w:rPr>
                <w:noProof/>
                <w:webHidden/>
              </w:rPr>
            </w:r>
            <w:r>
              <w:rPr>
                <w:noProof/>
                <w:webHidden/>
              </w:rPr>
              <w:fldChar w:fldCharType="separate"/>
            </w:r>
            <w:r w:rsidR="00FD6222">
              <w:rPr>
                <w:noProof/>
                <w:webHidden/>
              </w:rPr>
              <w:t>3</w:t>
            </w:r>
            <w:r>
              <w:rPr>
                <w:noProof/>
                <w:webHidden/>
              </w:rPr>
              <w:fldChar w:fldCharType="end"/>
            </w:r>
          </w:hyperlink>
        </w:p>
        <w:p w14:paraId="2A54B8B0" w14:textId="5D7D2A6F" w:rsidR="00E02F34" w:rsidRDefault="00E02F34">
          <w:pPr>
            <w:pStyle w:val="TOC2"/>
            <w:rPr>
              <w:rFonts w:eastAsiaTheme="minorEastAsia"/>
              <w:noProof/>
              <w:sz w:val="24"/>
              <w:szCs w:val="24"/>
              <w:lang w:eastAsia="en-GB"/>
            </w:rPr>
          </w:pPr>
          <w:hyperlink w:anchor="_Toc171906993" w:history="1">
            <w:r w:rsidRPr="0001788B">
              <w:rPr>
                <w:rStyle w:val="Hyperlink"/>
                <w:rFonts w:ascii="Arial" w:hAnsi="Arial" w:cs="Arial"/>
                <w:b/>
                <w:bCs/>
                <w:noProof/>
              </w:rPr>
              <w:t>Objectives of the Climate Risk Diagnostic</w:t>
            </w:r>
            <w:r>
              <w:rPr>
                <w:noProof/>
                <w:webHidden/>
              </w:rPr>
              <w:tab/>
            </w:r>
            <w:r>
              <w:rPr>
                <w:noProof/>
                <w:webHidden/>
              </w:rPr>
              <w:fldChar w:fldCharType="begin"/>
            </w:r>
            <w:r>
              <w:rPr>
                <w:noProof/>
                <w:webHidden/>
              </w:rPr>
              <w:instrText xml:space="preserve"> PAGEREF _Toc171906993 \h </w:instrText>
            </w:r>
            <w:r>
              <w:rPr>
                <w:noProof/>
                <w:webHidden/>
              </w:rPr>
            </w:r>
            <w:r>
              <w:rPr>
                <w:noProof/>
                <w:webHidden/>
              </w:rPr>
              <w:fldChar w:fldCharType="separate"/>
            </w:r>
            <w:r w:rsidR="00FD6222">
              <w:rPr>
                <w:noProof/>
                <w:webHidden/>
              </w:rPr>
              <w:t>3</w:t>
            </w:r>
            <w:r>
              <w:rPr>
                <w:noProof/>
                <w:webHidden/>
              </w:rPr>
              <w:fldChar w:fldCharType="end"/>
            </w:r>
          </w:hyperlink>
        </w:p>
        <w:p w14:paraId="0F3DF070" w14:textId="7A56A47A" w:rsidR="00E02F34" w:rsidRDefault="00E02F34">
          <w:pPr>
            <w:pStyle w:val="TOC1"/>
            <w:tabs>
              <w:tab w:val="left" w:pos="440"/>
              <w:tab w:val="right" w:leader="dot" w:pos="9016"/>
            </w:tabs>
            <w:rPr>
              <w:rFonts w:eastAsiaTheme="minorEastAsia"/>
              <w:noProof/>
              <w:sz w:val="24"/>
              <w:szCs w:val="24"/>
              <w:lang w:eastAsia="en-GB"/>
            </w:rPr>
          </w:pPr>
          <w:hyperlink w:anchor="_Toc171906994" w:history="1">
            <w:r w:rsidRPr="0001788B">
              <w:rPr>
                <w:rStyle w:val="Hyperlink"/>
                <w:rFonts w:ascii="Arial" w:hAnsi="Arial" w:cs="Arial"/>
                <w:b/>
                <w:bCs/>
                <w:noProof/>
              </w:rPr>
              <w:t>2.</w:t>
            </w:r>
            <w:r>
              <w:rPr>
                <w:rFonts w:eastAsiaTheme="minorEastAsia"/>
                <w:noProof/>
                <w:sz w:val="24"/>
                <w:szCs w:val="24"/>
                <w:lang w:eastAsia="en-GB"/>
              </w:rPr>
              <w:tab/>
            </w:r>
            <w:r w:rsidRPr="0001788B">
              <w:rPr>
                <w:rStyle w:val="Hyperlink"/>
                <w:rFonts w:ascii="Arial" w:hAnsi="Arial" w:cs="Arial"/>
                <w:b/>
                <w:bCs/>
                <w:noProof/>
              </w:rPr>
              <w:t>Physical Climate Risks</w:t>
            </w:r>
            <w:r>
              <w:rPr>
                <w:noProof/>
                <w:webHidden/>
              </w:rPr>
              <w:tab/>
            </w:r>
            <w:r>
              <w:rPr>
                <w:noProof/>
                <w:webHidden/>
              </w:rPr>
              <w:fldChar w:fldCharType="begin"/>
            </w:r>
            <w:r>
              <w:rPr>
                <w:noProof/>
                <w:webHidden/>
              </w:rPr>
              <w:instrText xml:space="preserve"> PAGEREF _Toc171906994 \h </w:instrText>
            </w:r>
            <w:r>
              <w:rPr>
                <w:noProof/>
                <w:webHidden/>
              </w:rPr>
            </w:r>
            <w:r>
              <w:rPr>
                <w:noProof/>
                <w:webHidden/>
              </w:rPr>
              <w:fldChar w:fldCharType="separate"/>
            </w:r>
            <w:r w:rsidR="00FD6222">
              <w:rPr>
                <w:noProof/>
                <w:webHidden/>
              </w:rPr>
              <w:t>4</w:t>
            </w:r>
            <w:r>
              <w:rPr>
                <w:noProof/>
                <w:webHidden/>
              </w:rPr>
              <w:fldChar w:fldCharType="end"/>
            </w:r>
          </w:hyperlink>
        </w:p>
        <w:p w14:paraId="563DAA84" w14:textId="7CE1000F" w:rsidR="00E02F34" w:rsidRDefault="00E02F34">
          <w:pPr>
            <w:pStyle w:val="TOC2"/>
            <w:rPr>
              <w:rFonts w:eastAsiaTheme="minorEastAsia"/>
              <w:noProof/>
              <w:sz w:val="24"/>
              <w:szCs w:val="24"/>
              <w:lang w:eastAsia="en-GB"/>
            </w:rPr>
          </w:pPr>
          <w:hyperlink w:anchor="_Toc171906995" w:history="1">
            <w:r w:rsidRPr="0001788B">
              <w:rPr>
                <w:rStyle w:val="Hyperlink"/>
                <w:rFonts w:ascii="Arial" w:hAnsi="Arial" w:cs="Arial"/>
                <w:b/>
                <w:bCs/>
                <w:noProof/>
              </w:rPr>
              <w:t>Defining Physical Risks for Financial Institutions</w:t>
            </w:r>
            <w:r>
              <w:rPr>
                <w:noProof/>
                <w:webHidden/>
              </w:rPr>
              <w:tab/>
            </w:r>
            <w:r>
              <w:rPr>
                <w:noProof/>
                <w:webHidden/>
              </w:rPr>
              <w:fldChar w:fldCharType="begin"/>
            </w:r>
            <w:r>
              <w:rPr>
                <w:noProof/>
                <w:webHidden/>
              </w:rPr>
              <w:instrText xml:space="preserve"> PAGEREF _Toc171906995 \h </w:instrText>
            </w:r>
            <w:r>
              <w:rPr>
                <w:noProof/>
                <w:webHidden/>
              </w:rPr>
            </w:r>
            <w:r>
              <w:rPr>
                <w:noProof/>
                <w:webHidden/>
              </w:rPr>
              <w:fldChar w:fldCharType="separate"/>
            </w:r>
            <w:r w:rsidR="00FD6222">
              <w:rPr>
                <w:noProof/>
                <w:webHidden/>
              </w:rPr>
              <w:t>8</w:t>
            </w:r>
            <w:r>
              <w:rPr>
                <w:noProof/>
                <w:webHidden/>
              </w:rPr>
              <w:fldChar w:fldCharType="end"/>
            </w:r>
          </w:hyperlink>
        </w:p>
        <w:p w14:paraId="16C35BC7" w14:textId="5C3720E6" w:rsidR="00E02F34" w:rsidRDefault="00E02F34">
          <w:pPr>
            <w:pStyle w:val="TOC2"/>
            <w:rPr>
              <w:rFonts w:eastAsiaTheme="minorEastAsia"/>
              <w:noProof/>
              <w:sz w:val="24"/>
              <w:szCs w:val="24"/>
              <w:lang w:eastAsia="en-GB"/>
            </w:rPr>
          </w:pPr>
          <w:hyperlink w:anchor="_Toc171906996" w:history="1">
            <w:r w:rsidRPr="0001788B">
              <w:rPr>
                <w:rStyle w:val="Hyperlink"/>
                <w:rFonts w:ascii="Arial" w:hAnsi="Arial" w:cs="Arial"/>
                <w:b/>
                <w:bCs/>
                <w:noProof/>
              </w:rPr>
              <w:t>The Geography of Kenya</w:t>
            </w:r>
            <w:r>
              <w:rPr>
                <w:noProof/>
                <w:webHidden/>
              </w:rPr>
              <w:tab/>
            </w:r>
            <w:r>
              <w:rPr>
                <w:noProof/>
                <w:webHidden/>
              </w:rPr>
              <w:fldChar w:fldCharType="begin"/>
            </w:r>
            <w:r>
              <w:rPr>
                <w:noProof/>
                <w:webHidden/>
              </w:rPr>
              <w:instrText xml:space="preserve"> PAGEREF _Toc171906996 \h </w:instrText>
            </w:r>
            <w:r>
              <w:rPr>
                <w:noProof/>
                <w:webHidden/>
              </w:rPr>
            </w:r>
            <w:r>
              <w:rPr>
                <w:noProof/>
                <w:webHidden/>
              </w:rPr>
              <w:fldChar w:fldCharType="separate"/>
            </w:r>
            <w:r w:rsidR="00FD6222">
              <w:rPr>
                <w:noProof/>
                <w:webHidden/>
              </w:rPr>
              <w:t>9</w:t>
            </w:r>
            <w:r>
              <w:rPr>
                <w:noProof/>
                <w:webHidden/>
              </w:rPr>
              <w:fldChar w:fldCharType="end"/>
            </w:r>
          </w:hyperlink>
        </w:p>
        <w:p w14:paraId="5FA4A241" w14:textId="7EB87924" w:rsidR="00E02F34" w:rsidRDefault="00E02F34">
          <w:pPr>
            <w:pStyle w:val="TOC2"/>
            <w:rPr>
              <w:rFonts w:eastAsiaTheme="minorEastAsia"/>
              <w:noProof/>
              <w:sz w:val="24"/>
              <w:szCs w:val="24"/>
              <w:lang w:eastAsia="en-GB"/>
            </w:rPr>
          </w:pPr>
          <w:hyperlink w:anchor="_Toc171906997" w:history="1">
            <w:r w:rsidRPr="0001788B">
              <w:rPr>
                <w:rStyle w:val="Hyperlink"/>
                <w:rFonts w:ascii="Arial" w:hAnsi="Arial" w:cs="Arial"/>
                <w:b/>
                <w:bCs/>
                <w:noProof/>
              </w:rPr>
              <w:t>Regional Interaction of Physical Risks in Kenya</w:t>
            </w:r>
            <w:r>
              <w:rPr>
                <w:noProof/>
                <w:webHidden/>
              </w:rPr>
              <w:tab/>
            </w:r>
            <w:r>
              <w:rPr>
                <w:noProof/>
                <w:webHidden/>
              </w:rPr>
              <w:fldChar w:fldCharType="begin"/>
            </w:r>
            <w:r>
              <w:rPr>
                <w:noProof/>
                <w:webHidden/>
              </w:rPr>
              <w:instrText xml:space="preserve"> PAGEREF _Toc171906997 \h </w:instrText>
            </w:r>
            <w:r>
              <w:rPr>
                <w:noProof/>
                <w:webHidden/>
              </w:rPr>
            </w:r>
            <w:r>
              <w:rPr>
                <w:noProof/>
                <w:webHidden/>
              </w:rPr>
              <w:fldChar w:fldCharType="separate"/>
            </w:r>
            <w:r w:rsidR="00FD6222">
              <w:rPr>
                <w:noProof/>
                <w:webHidden/>
              </w:rPr>
              <w:t>10</w:t>
            </w:r>
            <w:r>
              <w:rPr>
                <w:noProof/>
                <w:webHidden/>
              </w:rPr>
              <w:fldChar w:fldCharType="end"/>
            </w:r>
          </w:hyperlink>
        </w:p>
        <w:p w14:paraId="49F183F6" w14:textId="208649A3" w:rsidR="00E02F34" w:rsidRDefault="00E02F34">
          <w:pPr>
            <w:pStyle w:val="TOC2"/>
            <w:rPr>
              <w:rFonts w:eastAsiaTheme="minorEastAsia"/>
              <w:noProof/>
              <w:sz w:val="24"/>
              <w:szCs w:val="24"/>
              <w:lang w:eastAsia="en-GB"/>
            </w:rPr>
          </w:pPr>
          <w:hyperlink w:anchor="_Toc171906998" w:history="1">
            <w:r w:rsidRPr="0001788B">
              <w:rPr>
                <w:rStyle w:val="Hyperlink"/>
                <w:rFonts w:ascii="Arial" w:hAnsi="Arial" w:cs="Arial"/>
                <w:b/>
                <w:bCs/>
                <w:noProof/>
              </w:rPr>
              <w:t>Understanding the Impacts</w:t>
            </w:r>
            <w:r>
              <w:rPr>
                <w:noProof/>
                <w:webHidden/>
              </w:rPr>
              <w:tab/>
            </w:r>
            <w:r>
              <w:rPr>
                <w:noProof/>
                <w:webHidden/>
              </w:rPr>
              <w:fldChar w:fldCharType="begin"/>
            </w:r>
            <w:r>
              <w:rPr>
                <w:noProof/>
                <w:webHidden/>
              </w:rPr>
              <w:instrText xml:space="preserve"> PAGEREF _Toc171906998 \h </w:instrText>
            </w:r>
            <w:r>
              <w:rPr>
                <w:noProof/>
                <w:webHidden/>
              </w:rPr>
            </w:r>
            <w:r>
              <w:rPr>
                <w:noProof/>
                <w:webHidden/>
              </w:rPr>
              <w:fldChar w:fldCharType="separate"/>
            </w:r>
            <w:r w:rsidR="00FD6222">
              <w:rPr>
                <w:noProof/>
                <w:webHidden/>
              </w:rPr>
              <w:t>12</w:t>
            </w:r>
            <w:r>
              <w:rPr>
                <w:noProof/>
                <w:webHidden/>
              </w:rPr>
              <w:fldChar w:fldCharType="end"/>
            </w:r>
          </w:hyperlink>
        </w:p>
        <w:p w14:paraId="516040DE" w14:textId="1F33E36A" w:rsidR="00E02F34" w:rsidRDefault="00E02F34">
          <w:pPr>
            <w:pStyle w:val="TOC1"/>
            <w:tabs>
              <w:tab w:val="left" w:pos="440"/>
              <w:tab w:val="right" w:leader="dot" w:pos="9016"/>
            </w:tabs>
            <w:rPr>
              <w:rFonts w:eastAsiaTheme="minorEastAsia"/>
              <w:noProof/>
              <w:sz w:val="24"/>
              <w:szCs w:val="24"/>
              <w:lang w:eastAsia="en-GB"/>
            </w:rPr>
          </w:pPr>
          <w:hyperlink w:anchor="_Toc171906999" w:history="1">
            <w:r w:rsidRPr="0001788B">
              <w:rPr>
                <w:rStyle w:val="Hyperlink"/>
                <w:rFonts w:ascii="Arial" w:hAnsi="Arial" w:cs="Arial"/>
                <w:b/>
                <w:bCs/>
                <w:noProof/>
              </w:rPr>
              <w:t>3.</w:t>
            </w:r>
            <w:r>
              <w:rPr>
                <w:rFonts w:eastAsiaTheme="minorEastAsia"/>
                <w:noProof/>
                <w:sz w:val="24"/>
                <w:szCs w:val="24"/>
                <w:lang w:eastAsia="en-GB"/>
              </w:rPr>
              <w:tab/>
            </w:r>
            <w:r w:rsidRPr="0001788B">
              <w:rPr>
                <w:rStyle w:val="Hyperlink"/>
                <w:rFonts w:ascii="Arial" w:hAnsi="Arial" w:cs="Arial"/>
                <w:b/>
                <w:bCs/>
                <w:noProof/>
              </w:rPr>
              <w:t>Transition Risks</w:t>
            </w:r>
            <w:r>
              <w:rPr>
                <w:noProof/>
                <w:webHidden/>
              </w:rPr>
              <w:tab/>
            </w:r>
            <w:r>
              <w:rPr>
                <w:noProof/>
                <w:webHidden/>
              </w:rPr>
              <w:fldChar w:fldCharType="begin"/>
            </w:r>
            <w:r>
              <w:rPr>
                <w:noProof/>
                <w:webHidden/>
              </w:rPr>
              <w:instrText xml:space="preserve"> PAGEREF _Toc171906999 \h </w:instrText>
            </w:r>
            <w:r>
              <w:rPr>
                <w:noProof/>
                <w:webHidden/>
              </w:rPr>
            </w:r>
            <w:r>
              <w:rPr>
                <w:noProof/>
                <w:webHidden/>
              </w:rPr>
              <w:fldChar w:fldCharType="separate"/>
            </w:r>
            <w:r w:rsidR="00FD6222">
              <w:rPr>
                <w:noProof/>
                <w:webHidden/>
              </w:rPr>
              <w:t>15</w:t>
            </w:r>
            <w:r>
              <w:rPr>
                <w:noProof/>
                <w:webHidden/>
              </w:rPr>
              <w:fldChar w:fldCharType="end"/>
            </w:r>
          </w:hyperlink>
        </w:p>
        <w:p w14:paraId="74A56FF1" w14:textId="602638C6" w:rsidR="00E02F34" w:rsidRDefault="00E02F34">
          <w:pPr>
            <w:pStyle w:val="TOC2"/>
            <w:rPr>
              <w:rFonts w:eastAsiaTheme="minorEastAsia"/>
              <w:noProof/>
              <w:sz w:val="24"/>
              <w:szCs w:val="24"/>
              <w:lang w:eastAsia="en-GB"/>
            </w:rPr>
          </w:pPr>
          <w:hyperlink w:anchor="_Toc171907000" w:history="1">
            <w:r w:rsidRPr="0001788B">
              <w:rPr>
                <w:rStyle w:val="Hyperlink"/>
                <w:rFonts w:ascii="Arial" w:hAnsi="Arial" w:cs="Arial"/>
                <w:b/>
                <w:bCs/>
                <w:noProof/>
              </w:rPr>
              <w:t>Regulatory and Legal Risks</w:t>
            </w:r>
            <w:r>
              <w:rPr>
                <w:noProof/>
                <w:webHidden/>
              </w:rPr>
              <w:tab/>
            </w:r>
            <w:r>
              <w:rPr>
                <w:noProof/>
                <w:webHidden/>
              </w:rPr>
              <w:fldChar w:fldCharType="begin"/>
            </w:r>
            <w:r>
              <w:rPr>
                <w:noProof/>
                <w:webHidden/>
              </w:rPr>
              <w:instrText xml:space="preserve"> PAGEREF _Toc171907000 \h </w:instrText>
            </w:r>
            <w:r>
              <w:rPr>
                <w:noProof/>
                <w:webHidden/>
              </w:rPr>
            </w:r>
            <w:r>
              <w:rPr>
                <w:noProof/>
                <w:webHidden/>
              </w:rPr>
              <w:fldChar w:fldCharType="separate"/>
            </w:r>
            <w:r w:rsidR="00FD6222">
              <w:rPr>
                <w:noProof/>
                <w:webHidden/>
              </w:rPr>
              <w:t>15</w:t>
            </w:r>
            <w:r>
              <w:rPr>
                <w:noProof/>
                <w:webHidden/>
              </w:rPr>
              <w:fldChar w:fldCharType="end"/>
            </w:r>
          </w:hyperlink>
        </w:p>
        <w:p w14:paraId="09C474F4" w14:textId="4AA592D8" w:rsidR="00E02F34" w:rsidRDefault="00E02F34">
          <w:pPr>
            <w:pStyle w:val="TOC2"/>
            <w:rPr>
              <w:rFonts w:eastAsiaTheme="minorEastAsia"/>
              <w:noProof/>
              <w:sz w:val="24"/>
              <w:szCs w:val="24"/>
              <w:lang w:eastAsia="en-GB"/>
            </w:rPr>
          </w:pPr>
          <w:hyperlink w:anchor="_Toc171907001" w:history="1">
            <w:r w:rsidRPr="0001788B">
              <w:rPr>
                <w:rStyle w:val="Hyperlink"/>
                <w:rFonts w:ascii="Arial" w:hAnsi="Arial" w:cs="Arial"/>
                <w:b/>
                <w:bCs/>
                <w:noProof/>
              </w:rPr>
              <w:t>Technological Risks</w:t>
            </w:r>
            <w:r>
              <w:rPr>
                <w:noProof/>
                <w:webHidden/>
              </w:rPr>
              <w:tab/>
            </w:r>
            <w:r>
              <w:rPr>
                <w:noProof/>
                <w:webHidden/>
              </w:rPr>
              <w:fldChar w:fldCharType="begin"/>
            </w:r>
            <w:r>
              <w:rPr>
                <w:noProof/>
                <w:webHidden/>
              </w:rPr>
              <w:instrText xml:space="preserve"> PAGEREF _Toc171907001 \h </w:instrText>
            </w:r>
            <w:r>
              <w:rPr>
                <w:noProof/>
                <w:webHidden/>
              </w:rPr>
            </w:r>
            <w:r>
              <w:rPr>
                <w:noProof/>
                <w:webHidden/>
              </w:rPr>
              <w:fldChar w:fldCharType="separate"/>
            </w:r>
            <w:r w:rsidR="00FD6222">
              <w:rPr>
                <w:noProof/>
                <w:webHidden/>
              </w:rPr>
              <w:t>15</w:t>
            </w:r>
            <w:r>
              <w:rPr>
                <w:noProof/>
                <w:webHidden/>
              </w:rPr>
              <w:fldChar w:fldCharType="end"/>
            </w:r>
          </w:hyperlink>
        </w:p>
        <w:p w14:paraId="50C7669E" w14:textId="79406F9E" w:rsidR="00E02F34" w:rsidRDefault="00E02F34">
          <w:pPr>
            <w:pStyle w:val="TOC2"/>
            <w:rPr>
              <w:rFonts w:eastAsiaTheme="minorEastAsia"/>
              <w:noProof/>
              <w:sz w:val="24"/>
              <w:szCs w:val="24"/>
              <w:lang w:eastAsia="en-GB"/>
            </w:rPr>
          </w:pPr>
          <w:hyperlink w:anchor="_Toc171907002" w:history="1">
            <w:r w:rsidRPr="0001788B">
              <w:rPr>
                <w:rStyle w:val="Hyperlink"/>
                <w:rFonts w:ascii="Arial" w:hAnsi="Arial" w:cs="Arial"/>
                <w:b/>
                <w:bCs/>
                <w:noProof/>
              </w:rPr>
              <w:t>Market Risks</w:t>
            </w:r>
            <w:r>
              <w:rPr>
                <w:noProof/>
                <w:webHidden/>
              </w:rPr>
              <w:tab/>
            </w:r>
            <w:r>
              <w:rPr>
                <w:noProof/>
                <w:webHidden/>
              </w:rPr>
              <w:fldChar w:fldCharType="begin"/>
            </w:r>
            <w:r>
              <w:rPr>
                <w:noProof/>
                <w:webHidden/>
              </w:rPr>
              <w:instrText xml:space="preserve"> PAGEREF _Toc171907002 \h </w:instrText>
            </w:r>
            <w:r>
              <w:rPr>
                <w:noProof/>
                <w:webHidden/>
              </w:rPr>
            </w:r>
            <w:r>
              <w:rPr>
                <w:noProof/>
                <w:webHidden/>
              </w:rPr>
              <w:fldChar w:fldCharType="separate"/>
            </w:r>
            <w:r w:rsidR="00FD6222">
              <w:rPr>
                <w:noProof/>
                <w:webHidden/>
              </w:rPr>
              <w:t>16</w:t>
            </w:r>
            <w:r>
              <w:rPr>
                <w:noProof/>
                <w:webHidden/>
              </w:rPr>
              <w:fldChar w:fldCharType="end"/>
            </w:r>
          </w:hyperlink>
        </w:p>
        <w:p w14:paraId="0CB89B29" w14:textId="7C4DACB1" w:rsidR="00E02F34" w:rsidRDefault="00E02F34">
          <w:pPr>
            <w:pStyle w:val="TOC2"/>
            <w:rPr>
              <w:rFonts w:eastAsiaTheme="minorEastAsia"/>
              <w:noProof/>
              <w:sz w:val="24"/>
              <w:szCs w:val="24"/>
              <w:lang w:eastAsia="en-GB"/>
            </w:rPr>
          </w:pPr>
          <w:hyperlink w:anchor="_Toc171907003" w:history="1">
            <w:r w:rsidRPr="0001788B">
              <w:rPr>
                <w:rStyle w:val="Hyperlink"/>
                <w:rFonts w:ascii="Arial" w:hAnsi="Arial" w:cs="Arial"/>
                <w:b/>
                <w:bCs/>
                <w:noProof/>
              </w:rPr>
              <w:t>Reputational Risks</w:t>
            </w:r>
            <w:r>
              <w:rPr>
                <w:noProof/>
                <w:webHidden/>
              </w:rPr>
              <w:tab/>
            </w:r>
            <w:r>
              <w:rPr>
                <w:noProof/>
                <w:webHidden/>
              </w:rPr>
              <w:fldChar w:fldCharType="begin"/>
            </w:r>
            <w:r>
              <w:rPr>
                <w:noProof/>
                <w:webHidden/>
              </w:rPr>
              <w:instrText xml:space="preserve"> PAGEREF _Toc171907003 \h </w:instrText>
            </w:r>
            <w:r>
              <w:rPr>
                <w:noProof/>
                <w:webHidden/>
              </w:rPr>
            </w:r>
            <w:r>
              <w:rPr>
                <w:noProof/>
                <w:webHidden/>
              </w:rPr>
              <w:fldChar w:fldCharType="separate"/>
            </w:r>
            <w:r w:rsidR="00FD6222">
              <w:rPr>
                <w:noProof/>
                <w:webHidden/>
              </w:rPr>
              <w:t>16</w:t>
            </w:r>
            <w:r>
              <w:rPr>
                <w:noProof/>
                <w:webHidden/>
              </w:rPr>
              <w:fldChar w:fldCharType="end"/>
            </w:r>
          </w:hyperlink>
        </w:p>
        <w:p w14:paraId="21252C9E" w14:textId="19891582" w:rsidR="00E02F34" w:rsidRDefault="00E02F34">
          <w:pPr>
            <w:pStyle w:val="TOC2"/>
            <w:rPr>
              <w:rFonts w:eastAsiaTheme="minorEastAsia"/>
              <w:noProof/>
              <w:sz w:val="24"/>
              <w:szCs w:val="24"/>
              <w:lang w:eastAsia="en-GB"/>
            </w:rPr>
          </w:pPr>
          <w:hyperlink w:anchor="_Toc171907004" w:history="1">
            <w:r w:rsidRPr="0001788B">
              <w:rPr>
                <w:rStyle w:val="Hyperlink"/>
                <w:rFonts w:ascii="Arial" w:hAnsi="Arial" w:cs="Arial"/>
                <w:b/>
                <w:bCs/>
                <w:noProof/>
              </w:rPr>
              <w:t>Climate Transitional Risks in Kenya</w:t>
            </w:r>
            <w:r>
              <w:rPr>
                <w:noProof/>
                <w:webHidden/>
              </w:rPr>
              <w:tab/>
            </w:r>
            <w:r>
              <w:rPr>
                <w:noProof/>
                <w:webHidden/>
              </w:rPr>
              <w:fldChar w:fldCharType="begin"/>
            </w:r>
            <w:r>
              <w:rPr>
                <w:noProof/>
                <w:webHidden/>
              </w:rPr>
              <w:instrText xml:space="preserve"> PAGEREF _Toc171907004 \h </w:instrText>
            </w:r>
            <w:r>
              <w:rPr>
                <w:noProof/>
                <w:webHidden/>
              </w:rPr>
            </w:r>
            <w:r>
              <w:rPr>
                <w:noProof/>
                <w:webHidden/>
              </w:rPr>
              <w:fldChar w:fldCharType="separate"/>
            </w:r>
            <w:r w:rsidR="00FD6222">
              <w:rPr>
                <w:noProof/>
                <w:webHidden/>
              </w:rPr>
              <w:t>16</w:t>
            </w:r>
            <w:r>
              <w:rPr>
                <w:noProof/>
                <w:webHidden/>
              </w:rPr>
              <w:fldChar w:fldCharType="end"/>
            </w:r>
          </w:hyperlink>
        </w:p>
        <w:p w14:paraId="2A2D7022" w14:textId="2C867342" w:rsidR="00E02F34" w:rsidRDefault="00E02F34">
          <w:pPr>
            <w:pStyle w:val="TOC1"/>
            <w:tabs>
              <w:tab w:val="left" w:pos="440"/>
              <w:tab w:val="right" w:leader="dot" w:pos="9016"/>
            </w:tabs>
            <w:rPr>
              <w:rFonts w:eastAsiaTheme="minorEastAsia"/>
              <w:noProof/>
              <w:sz w:val="24"/>
              <w:szCs w:val="24"/>
              <w:lang w:eastAsia="en-GB"/>
            </w:rPr>
          </w:pPr>
          <w:hyperlink w:anchor="_Toc171907005" w:history="1">
            <w:r w:rsidRPr="0001788B">
              <w:rPr>
                <w:rStyle w:val="Hyperlink"/>
                <w:rFonts w:ascii="Arial" w:hAnsi="Arial" w:cs="Arial"/>
                <w:b/>
                <w:bCs/>
                <w:noProof/>
              </w:rPr>
              <w:t>4.</w:t>
            </w:r>
            <w:r>
              <w:rPr>
                <w:rFonts w:eastAsiaTheme="minorEastAsia"/>
                <w:noProof/>
                <w:sz w:val="24"/>
                <w:szCs w:val="24"/>
                <w:lang w:eastAsia="en-GB"/>
              </w:rPr>
              <w:tab/>
            </w:r>
            <w:r w:rsidRPr="0001788B">
              <w:rPr>
                <w:rStyle w:val="Hyperlink"/>
                <w:rFonts w:ascii="Arial" w:hAnsi="Arial" w:cs="Arial"/>
                <w:b/>
                <w:bCs/>
                <w:noProof/>
              </w:rPr>
              <w:t>Regulatory Response to Climate-Related Risks in the Kenya’s Banking Sector</w:t>
            </w:r>
            <w:r>
              <w:rPr>
                <w:noProof/>
                <w:webHidden/>
              </w:rPr>
              <w:tab/>
            </w:r>
            <w:r>
              <w:rPr>
                <w:noProof/>
                <w:webHidden/>
              </w:rPr>
              <w:fldChar w:fldCharType="begin"/>
            </w:r>
            <w:r>
              <w:rPr>
                <w:noProof/>
                <w:webHidden/>
              </w:rPr>
              <w:instrText xml:space="preserve"> PAGEREF _Toc171907005 \h </w:instrText>
            </w:r>
            <w:r>
              <w:rPr>
                <w:noProof/>
                <w:webHidden/>
              </w:rPr>
            </w:r>
            <w:r>
              <w:rPr>
                <w:noProof/>
                <w:webHidden/>
              </w:rPr>
              <w:fldChar w:fldCharType="separate"/>
            </w:r>
            <w:r w:rsidR="00FD6222">
              <w:rPr>
                <w:noProof/>
                <w:webHidden/>
              </w:rPr>
              <w:t>18</w:t>
            </w:r>
            <w:r>
              <w:rPr>
                <w:noProof/>
                <w:webHidden/>
              </w:rPr>
              <w:fldChar w:fldCharType="end"/>
            </w:r>
          </w:hyperlink>
        </w:p>
        <w:p w14:paraId="2C338DD0" w14:textId="54AF9D3B" w:rsidR="00E02F34" w:rsidRDefault="00E02F34">
          <w:pPr>
            <w:pStyle w:val="TOC1"/>
            <w:tabs>
              <w:tab w:val="left" w:pos="440"/>
              <w:tab w:val="right" w:leader="dot" w:pos="9016"/>
            </w:tabs>
            <w:rPr>
              <w:rFonts w:eastAsiaTheme="minorEastAsia"/>
              <w:noProof/>
              <w:sz w:val="24"/>
              <w:szCs w:val="24"/>
              <w:lang w:eastAsia="en-GB"/>
            </w:rPr>
          </w:pPr>
          <w:hyperlink w:anchor="_Toc171907006" w:history="1">
            <w:r w:rsidRPr="0001788B">
              <w:rPr>
                <w:rStyle w:val="Hyperlink"/>
                <w:rFonts w:ascii="Arial" w:hAnsi="Arial" w:cs="Arial"/>
                <w:b/>
                <w:bCs/>
                <w:noProof/>
              </w:rPr>
              <w:t>5.</w:t>
            </w:r>
            <w:r>
              <w:rPr>
                <w:rFonts w:eastAsiaTheme="minorEastAsia"/>
                <w:noProof/>
                <w:sz w:val="24"/>
                <w:szCs w:val="24"/>
                <w:lang w:eastAsia="en-GB"/>
              </w:rPr>
              <w:tab/>
            </w:r>
            <w:r w:rsidRPr="0001788B">
              <w:rPr>
                <w:rStyle w:val="Hyperlink"/>
                <w:rFonts w:ascii="Arial" w:hAnsi="Arial" w:cs="Arial"/>
                <w:b/>
                <w:bCs/>
                <w:noProof/>
              </w:rPr>
              <w:t>Bibliography</w:t>
            </w:r>
            <w:r>
              <w:rPr>
                <w:noProof/>
                <w:webHidden/>
              </w:rPr>
              <w:tab/>
            </w:r>
            <w:r>
              <w:rPr>
                <w:noProof/>
                <w:webHidden/>
              </w:rPr>
              <w:fldChar w:fldCharType="begin"/>
            </w:r>
            <w:r>
              <w:rPr>
                <w:noProof/>
                <w:webHidden/>
              </w:rPr>
              <w:instrText xml:space="preserve"> PAGEREF _Toc171907006 \h </w:instrText>
            </w:r>
            <w:r>
              <w:rPr>
                <w:noProof/>
                <w:webHidden/>
              </w:rPr>
            </w:r>
            <w:r>
              <w:rPr>
                <w:noProof/>
                <w:webHidden/>
              </w:rPr>
              <w:fldChar w:fldCharType="separate"/>
            </w:r>
            <w:r w:rsidR="00FD6222">
              <w:rPr>
                <w:noProof/>
                <w:webHidden/>
              </w:rPr>
              <w:t>20</w:t>
            </w:r>
            <w:r>
              <w:rPr>
                <w:noProof/>
                <w:webHidden/>
              </w:rPr>
              <w:fldChar w:fldCharType="end"/>
            </w:r>
          </w:hyperlink>
        </w:p>
        <w:p w14:paraId="01DDC657" w14:textId="50D426A6" w:rsidR="00B02ECB" w:rsidRPr="00EC1B14" w:rsidRDefault="00E64C45" w:rsidP="0015009A">
          <w:pPr>
            <w:spacing w:afterLines="120" w:after="288" w:line="276" w:lineRule="auto"/>
            <w:jc w:val="both"/>
            <w:rPr>
              <w:rFonts w:ascii="Arial" w:hAnsi="Arial" w:cs="Arial"/>
            </w:rPr>
          </w:pPr>
          <w:r w:rsidRPr="00EC1B14">
            <w:rPr>
              <w:rFonts w:ascii="Arial" w:hAnsi="Arial" w:cs="Arial"/>
              <w:noProof/>
            </w:rPr>
            <w:fldChar w:fldCharType="end"/>
          </w:r>
        </w:p>
      </w:sdtContent>
    </w:sdt>
    <w:p w14:paraId="5CF03214" w14:textId="5055AD14" w:rsidR="00024509" w:rsidRPr="00EC1B14" w:rsidRDefault="00024509" w:rsidP="0015009A">
      <w:pPr>
        <w:spacing w:line="276" w:lineRule="auto"/>
        <w:rPr>
          <w:rFonts w:ascii="Arial" w:hAnsi="Arial" w:cs="Arial"/>
          <w:b/>
          <w:bCs/>
        </w:rPr>
        <w:sectPr w:rsidR="00024509" w:rsidRPr="00EC1B14" w:rsidSect="00CF021E">
          <w:headerReference w:type="even" r:id="rId20"/>
          <w:headerReference w:type="default" r:id="rId21"/>
          <w:footerReference w:type="even" r:id="rId22"/>
          <w:footerReference w:type="default" r:id="rId23"/>
          <w:headerReference w:type="first" r:id="rId24"/>
          <w:footerReference w:type="first" r:id="rId25"/>
          <w:pgSz w:w="11906" w:h="16838"/>
          <w:pgMar w:top="1440" w:right="1440" w:bottom="1560" w:left="1440" w:header="475" w:footer="707" w:gutter="0"/>
          <w:pgNumType w:start="0"/>
          <w:cols w:space="708"/>
          <w:docGrid w:linePitch="360"/>
        </w:sectPr>
      </w:pPr>
      <w:r w:rsidRPr="00EC1B14">
        <w:rPr>
          <w:rFonts w:ascii="Arial" w:hAnsi="Arial" w:cs="Arial"/>
          <w:b/>
          <w:bCs/>
        </w:rPr>
        <w:br w:type="page"/>
      </w:r>
    </w:p>
    <w:p w14:paraId="58193237" w14:textId="77777777" w:rsidR="00024509" w:rsidRPr="00EC1B14" w:rsidRDefault="00024509" w:rsidP="0015009A">
      <w:pPr>
        <w:spacing w:line="276" w:lineRule="auto"/>
        <w:rPr>
          <w:rFonts w:ascii="Arial" w:eastAsiaTheme="majorEastAsia" w:hAnsi="Arial" w:cs="Arial"/>
          <w:b/>
          <w:bCs/>
        </w:rPr>
      </w:pPr>
    </w:p>
    <w:p w14:paraId="2E845B6A" w14:textId="63EB61F0" w:rsidR="000332F6" w:rsidRPr="00EC1B14" w:rsidRDefault="00C356E6" w:rsidP="0015009A">
      <w:pPr>
        <w:spacing w:line="276" w:lineRule="auto"/>
        <w:rPr>
          <w:rFonts w:ascii="Arial" w:hAnsi="Arial" w:cs="Arial"/>
          <w:b/>
          <w:bCs/>
        </w:rPr>
      </w:pPr>
      <w:r w:rsidRPr="00EC1B14">
        <w:rPr>
          <w:rFonts w:ascii="Arial" w:hAnsi="Arial" w:cs="Arial"/>
          <w:b/>
          <w:bCs/>
        </w:rPr>
        <w:t xml:space="preserve">List of </w:t>
      </w:r>
      <w:r w:rsidR="00AE1E55" w:rsidRPr="00EC1B14">
        <w:rPr>
          <w:rFonts w:ascii="Arial" w:hAnsi="Arial" w:cs="Arial"/>
          <w:b/>
          <w:bCs/>
        </w:rPr>
        <w:t>Figures</w:t>
      </w:r>
    </w:p>
    <w:bookmarkStart w:id="1" w:name="_Toc159248344"/>
    <w:p w14:paraId="38AF1ED5" w14:textId="71343897" w:rsidR="00EF4E2A" w:rsidRPr="00EF4E2A" w:rsidRDefault="00C356E6">
      <w:pPr>
        <w:pStyle w:val="TableofFigures"/>
        <w:tabs>
          <w:tab w:val="right" w:leader="dot" w:pos="9016"/>
        </w:tabs>
        <w:rPr>
          <w:rFonts w:eastAsiaTheme="minorEastAsia"/>
          <w:noProof/>
          <w:lang w:eastAsia="en-GB"/>
        </w:rPr>
      </w:pPr>
      <w:r w:rsidRPr="00EC1B14">
        <w:rPr>
          <w:rFonts w:ascii="Arial" w:hAnsi="Arial" w:cs="Arial"/>
        </w:rPr>
        <w:fldChar w:fldCharType="begin"/>
      </w:r>
      <w:r w:rsidRPr="00EC1B14">
        <w:rPr>
          <w:rFonts w:ascii="Arial" w:hAnsi="Arial" w:cs="Arial"/>
        </w:rPr>
        <w:instrText xml:space="preserve"> TOC \h \z \c "Figure" </w:instrText>
      </w:r>
      <w:r w:rsidRPr="00EC1B14">
        <w:rPr>
          <w:rFonts w:ascii="Arial" w:hAnsi="Arial" w:cs="Arial"/>
        </w:rPr>
        <w:fldChar w:fldCharType="separate"/>
      </w:r>
      <w:hyperlink w:anchor="_Toc175238278" w:history="1">
        <w:r w:rsidR="00EF4E2A" w:rsidRPr="00EF4E2A">
          <w:rPr>
            <w:rStyle w:val="Hyperlink"/>
            <w:rFonts w:ascii="Calibri" w:eastAsia="Times New Roman" w:hAnsi="Calibri" w:cs="Calibri"/>
            <w:noProof/>
            <w:kern w:val="0"/>
            <w:lang w:eastAsia="en-GB"/>
            <w14:ligatures w14:val="none"/>
          </w:rPr>
          <w:t>Figure 1: Temperature Risk in Kenya:</w:t>
        </w:r>
        <w:r w:rsidR="00EF4E2A" w:rsidRPr="00EF4E2A">
          <w:rPr>
            <w:noProof/>
            <w:webHidden/>
          </w:rPr>
          <w:tab/>
        </w:r>
        <w:r w:rsidR="00EF4E2A" w:rsidRPr="00EF4E2A">
          <w:rPr>
            <w:noProof/>
            <w:webHidden/>
          </w:rPr>
          <w:fldChar w:fldCharType="begin"/>
        </w:r>
        <w:r w:rsidR="00EF4E2A" w:rsidRPr="00EF4E2A">
          <w:rPr>
            <w:noProof/>
            <w:webHidden/>
          </w:rPr>
          <w:instrText xml:space="preserve"> PAGEREF _Toc175238278 \h </w:instrText>
        </w:r>
        <w:r w:rsidR="00EF4E2A" w:rsidRPr="00EF4E2A">
          <w:rPr>
            <w:noProof/>
            <w:webHidden/>
          </w:rPr>
        </w:r>
        <w:r w:rsidR="00EF4E2A" w:rsidRPr="00EF4E2A">
          <w:rPr>
            <w:noProof/>
            <w:webHidden/>
          </w:rPr>
          <w:fldChar w:fldCharType="separate"/>
        </w:r>
        <w:r w:rsidR="00FD6222">
          <w:rPr>
            <w:noProof/>
            <w:webHidden/>
          </w:rPr>
          <w:t>5</w:t>
        </w:r>
        <w:r w:rsidR="00EF4E2A" w:rsidRPr="00EF4E2A">
          <w:rPr>
            <w:noProof/>
            <w:webHidden/>
          </w:rPr>
          <w:fldChar w:fldCharType="end"/>
        </w:r>
      </w:hyperlink>
    </w:p>
    <w:p w14:paraId="313EA287" w14:textId="76A098D1" w:rsidR="00EF4E2A" w:rsidRPr="00EF4E2A" w:rsidRDefault="00EF4E2A">
      <w:pPr>
        <w:pStyle w:val="TableofFigures"/>
        <w:tabs>
          <w:tab w:val="right" w:leader="dot" w:pos="9016"/>
        </w:tabs>
        <w:rPr>
          <w:rFonts w:eastAsiaTheme="minorEastAsia"/>
          <w:noProof/>
          <w:lang w:eastAsia="en-GB"/>
        </w:rPr>
      </w:pPr>
      <w:hyperlink w:anchor="_Toc175238279" w:history="1">
        <w:r w:rsidRPr="00EF4E2A">
          <w:rPr>
            <w:rStyle w:val="Hyperlink"/>
            <w:rFonts w:ascii="Calibri" w:eastAsia="Times New Roman" w:hAnsi="Calibri" w:cs="Calibri"/>
            <w:noProof/>
            <w:kern w:val="0"/>
            <w:lang w:eastAsia="en-GB"/>
            <w14:ligatures w14:val="none"/>
          </w:rPr>
          <w:t>Figure 2: Temperature Risk in Kenya:</w:t>
        </w:r>
        <w:r w:rsidRPr="00EF4E2A">
          <w:rPr>
            <w:noProof/>
            <w:webHidden/>
          </w:rPr>
          <w:tab/>
        </w:r>
        <w:r w:rsidRPr="00EF4E2A">
          <w:rPr>
            <w:noProof/>
            <w:webHidden/>
          </w:rPr>
          <w:fldChar w:fldCharType="begin"/>
        </w:r>
        <w:r w:rsidRPr="00EF4E2A">
          <w:rPr>
            <w:noProof/>
            <w:webHidden/>
          </w:rPr>
          <w:instrText xml:space="preserve"> PAGEREF _Toc175238279 \h </w:instrText>
        </w:r>
        <w:r w:rsidRPr="00EF4E2A">
          <w:rPr>
            <w:noProof/>
            <w:webHidden/>
          </w:rPr>
        </w:r>
        <w:r w:rsidRPr="00EF4E2A">
          <w:rPr>
            <w:noProof/>
            <w:webHidden/>
          </w:rPr>
          <w:fldChar w:fldCharType="separate"/>
        </w:r>
        <w:r w:rsidR="00FD6222">
          <w:rPr>
            <w:noProof/>
            <w:webHidden/>
          </w:rPr>
          <w:t>5</w:t>
        </w:r>
        <w:r w:rsidRPr="00EF4E2A">
          <w:rPr>
            <w:noProof/>
            <w:webHidden/>
          </w:rPr>
          <w:fldChar w:fldCharType="end"/>
        </w:r>
      </w:hyperlink>
    </w:p>
    <w:p w14:paraId="4AEDE404" w14:textId="2895FD88" w:rsidR="00EF4E2A" w:rsidRPr="00EF4E2A" w:rsidRDefault="00EF4E2A">
      <w:pPr>
        <w:pStyle w:val="TableofFigures"/>
        <w:tabs>
          <w:tab w:val="right" w:leader="dot" w:pos="9016"/>
        </w:tabs>
        <w:rPr>
          <w:rFonts w:eastAsiaTheme="minorEastAsia"/>
          <w:noProof/>
          <w:lang w:eastAsia="en-GB"/>
        </w:rPr>
      </w:pPr>
      <w:hyperlink w:anchor="_Toc175238280" w:history="1">
        <w:r w:rsidRPr="00EF4E2A">
          <w:rPr>
            <w:rStyle w:val="Hyperlink"/>
            <w:rFonts w:ascii="Calibri" w:eastAsia="Times New Roman" w:hAnsi="Calibri" w:cs="Calibri"/>
            <w:noProof/>
            <w:kern w:val="0"/>
            <w:lang w:eastAsia="en-GB"/>
            <w14:ligatures w14:val="none"/>
          </w:rPr>
          <w:t>Figure 3 Drought Risk (yearly probability of SPEI3 inferior to &lt; -1) in Kenya</w:t>
        </w:r>
        <w:r w:rsidRPr="00EF4E2A">
          <w:rPr>
            <w:noProof/>
            <w:webHidden/>
          </w:rPr>
          <w:tab/>
        </w:r>
        <w:r w:rsidRPr="00EF4E2A">
          <w:rPr>
            <w:noProof/>
            <w:webHidden/>
          </w:rPr>
          <w:fldChar w:fldCharType="begin"/>
        </w:r>
        <w:r w:rsidRPr="00EF4E2A">
          <w:rPr>
            <w:noProof/>
            <w:webHidden/>
          </w:rPr>
          <w:instrText xml:space="preserve"> PAGEREF _Toc175238280 \h </w:instrText>
        </w:r>
        <w:r w:rsidRPr="00EF4E2A">
          <w:rPr>
            <w:noProof/>
            <w:webHidden/>
          </w:rPr>
        </w:r>
        <w:r w:rsidRPr="00EF4E2A">
          <w:rPr>
            <w:noProof/>
            <w:webHidden/>
          </w:rPr>
          <w:fldChar w:fldCharType="separate"/>
        </w:r>
        <w:r w:rsidR="00FD6222">
          <w:rPr>
            <w:noProof/>
            <w:webHidden/>
          </w:rPr>
          <w:t>6</w:t>
        </w:r>
        <w:r w:rsidRPr="00EF4E2A">
          <w:rPr>
            <w:noProof/>
            <w:webHidden/>
          </w:rPr>
          <w:fldChar w:fldCharType="end"/>
        </w:r>
      </w:hyperlink>
    </w:p>
    <w:p w14:paraId="23515887" w14:textId="41187AD4" w:rsidR="00EF4E2A" w:rsidRPr="00EF4E2A" w:rsidRDefault="00EF4E2A">
      <w:pPr>
        <w:pStyle w:val="TableofFigures"/>
        <w:tabs>
          <w:tab w:val="right" w:leader="dot" w:pos="9016"/>
        </w:tabs>
        <w:rPr>
          <w:rFonts w:eastAsiaTheme="minorEastAsia"/>
          <w:noProof/>
          <w:lang w:eastAsia="en-GB"/>
        </w:rPr>
      </w:pPr>
      <w:hyperlink w:anchor="_Toc175238281" w:history="1">
        <w:r w:rsidRPr="00EF4E2A">
          <w:rPr>
            <w:rStyle w:val="Hyperlink"/>
            <w:rFonts w:ascii="Calibri" w:eastAsia="Times New Roman" w:hAnsi="Calibri" w:cs="Calibri"/>
            <w:noProof/>
            <w:kern w:val="0"/>
            <w:lang w:eastAsia="en-GB"/>
            <w14:ligatures w14:val="none"/>
          </w:rPr>
          <w:t>Figure 5: Extreme Precipitation Risk in Kenya:</w:t>
        </w:r>
        <w:r w:rsidRPr="00EF4E2A">
          <w:rPr>
            <w:noProof/>
            <w:webHidden/>
          </w:rPr>
          <w:tab/>
        </w:r>
        <w:r w:rsidRPr="00EF4E2A">
          <w:rPr>
            <w:noProof/>
            <w:webHidden/>
          </w:rPr>
          <w:fldChar w:fldCharType="begin"/>
        </w:r>
        <w:r w:rsidRPr="00EF4E2A">
          <w:rPr>
            <w:noProof/>
            <w:webHidden/>
          </w:rPr>
          <w:instrText xml:space="preserve"> PAGEREF _Toc175238281 \h </w:instrText>
        </w:r>
        <w:r w:rsidRPr="00EF4E2A">
          <w:rPr>
            <w:noProof/>
            <w:webHidden/>
          </w:rPr>
        </w:r>
        <w:r w:rsidRPr="00EF4E2A">
          <w:rPr>
            <w:noProof/>
            <w:webHidden/>
          </w:rPr>
          <w:fldChar w:fldCharType="separate"/>
        </w:r>
        <w:r w:rsidR="00FD6222">
          <w:rPr>
            <w:noProof/>
            <w:webHidden/>
          </w:rPr>
          <w:t>6</w:t>
        </w:r>
        <w:r w:rsidRPr="00EF4E2A">
          <w:rPr>
            <w:noProof/>
            <w:webHidden/>
          </w:rPr>
          <w:fldChar w:fldCharType="end"/>
        </w:r>
      </w:hyperlink>
    </w:p>
    <w:p w14:paraId="02BDFC2D" w14:textId="4B71D224" w:rsidR="00EF4E2A" w:rsidRPr="00EF4E2A" w:rsidRDefault="00EF4E2A">
      <w:pPr>
        <w:pStyle w:val="TableofFigures"/>
        <w:tabs>
          <w:tab w:val="right" w:leader="dot" w:pos="9016"/>
        </w:tabs>
        <w:rPr>
          <w:rFonts w:eastAsiaTheme="minorEastAsia"/>
          <w:noProof/>
          <w:lang w:eastAsia="en-GB"/>
        </w:rPr>
      </w:pPr>
      <w:hyperlink w:anchor="_Toc175238282" w:history="1">
        <w:r w:rsidRPr="00EF4E2A">
          <w:rPr>
            <w:rStyle w:val="Hyperlink"/>
            <w:rFonts w:ascii="Calibri" w:eastAsia="Times New Roman" w:hAnsi="Calibri" w:cs="Calibri"/>
            <w:noProof/>
            <w:kern w:val="0"/>
            <w:lang w:eastAsia="en-GB"/>
            <w14:ligatures w14:val="none"/>
          </w:rPr>
          <w:t>Figure 6: Flooding Risk in Kenya:</w:t>
        </w:r>
        <w:r w:rsidRPr="00EF4E2A">
          <w:rPr>
            <w:noProof/>
            <w:webHidden/>
          </w:rPr>
          <w:tab/>
        </w:r>
        <w:r w:rsidRPr="00EF4E2A">
          <w:rPr>
            <w:noProof/>
            <w:webHidden/>
          </w:rPr>
          <w:fldChar w:fldCharType="begin"/>
        </w:r>
        <w:r w:rsidRPr="00EF4E2A">
          <w:rPr>
            <w:noProof/>
            <w:webHidden/>
          </w:rPr>
          <w:instrText xml:space="preserve"> PAGEREF _Toc175238282 \h </w:instrText>
        </w:r>
        <w:r w:rsidRPr="00EF4E2A">
          <w:rPr>
            <w:noProof/>
            <w:webHidden/>
          </w:rPr>
        </w:r>
        <w:r w:rsidRPr="00EF4E2A">
          <w:rPr>
            <w:noProof/>
            <w:webHidden/>
          </w:rPr>
          <w:fldChar w:fldCharType="separate"/>
        </w:r>
        <w:r w:rsidR="00FD6222">
          <w:rPr>
            <w:noProof/>
            <w:webHidden/>
          </w:rPr>
          <w:t>7</w:t>
        </w:r>
        <w:r w:rsidRPr="00EF4E2A">
          <w:rPr>
            <w:noProof/>
            <w:webHidden/>
          </w:rPr>
          <w:fldChar w:fldCharType="end"/>
        </w:r>
      </w:hyperlink>
    </w:p>
    <w:p w14:paraId="4D80089D" w14:textId="167B276B" w:rsidR="00EF4E2A" w:rsidRDefault="00EF4E2A">
      <w:pPr>
        <w:pStyle w:val="TableofFigures"/>
        <w:tabs>
          <w:tab w:val="right" w:leader="dot" w:pos="9016"/>
        </w:tabs>
        <w:rPr>
          <w:rFonts w:eastAsiaTheme="minorEastAsia"/>
          <w:noProof/>
          <w:lang w:eastAsia="en-GB"/>
        </w:rPr>
      </w:pPr>
      <w:hyperlink w:anchor="_Toc175238283" w:history="1">
        <w:r w:rsidRPr="00EF4E2A">
          <w:rPr>
            <w:rStyle w:val="Hyperlink"/>
            <w:rFonts w:ascii="Calibri" w:eastAsia="Times New Roman" w:hAnsi="Calibri" w:cs="Calibri"/>
            <w:noProof/>
            <w:kern w:val="0"/>
            <w:lang w:eastAsia="en-GB"/>
            <w14:ligatures w14:val="none"/>
          </w:rPr>
          <w:t>Figure 7: UNITAR flood map. Red indicates flooded area detected via remote sensing from April to June 2024.</w:t>
        </w:r>
        <w:r w:rsidRPr="00EF4E2A">
          <w:rPr>
            <w:noProof/>
            <w:webHidden/>
          </w:rPr>
          <w:tab/>
        </w:r>
        <w:r w:rsidRPr="00EF4E2A">
          <w:rPr>
            <w:noProof/>
            <w:webHidden/>
          </w:rPr>
          <w:fldChar w:fldCharType="begin"/>
        </w:r>
        <w:r w:rsidRPr="00EF4E2A">
          <w:rPr>
            <w:noProof/>
            <w:webHidden/>
          </w:rPr>
          <w:instrText xml:space="preserve"> PAGEREF _Toc175238283 \h </w:instrText>
        </w:r>
        <w:r w:rsidRPr="00EF4E2A">
          <w:rPr>
            <w:noProof/>
            <w:webHidden/>
          </w:rPr>
        </w:r>
        <w:r w:rsidRPr="00EF4E2A">
          <w:rPr>
            <w:noProof/>
            <w:webHidden/>
          </w:rPr>
          <w:fldChar w:fldCharType="separate"/>
        </w:r>
        <w:r w:rsidR="00FD6222">
          <w:rPr>
            <w:noProof/>
            <w:webHidden/>
          </w:rPr>
          <w:t>11</w:t>
        </w:r>
        <w:r w:rsidRPr="00EF4E2A">
          <w:rPr>
            <w:noProof/>
            <w:webHidden/>
          </w:rPr>
          <w:fldChar w:fldCharType="end"/>
        </w:r>
      </w:hyperlink>
    </w:p>
    <w:p w14:paraId="1F734119" w14:textId="43D746B4" w:rsidR="00C356E6" w:rsidRPr="00EC1B14" w:rsidRDefault="00C356E6" w:rsidP="0015009A">
      <w:pPr>
        <w:spacing w:line="276" w:lineRule="auto"/>
        <w:rPr>
          <w:rFonts w:ascii="Arial" w:hAnsi="Arial" w:cs="Arial"/>
          <w:b/>
          <w:bCs/>
        </w:rPr>
      </w:pPr>
      <w:r w:rsidRPr="00EC1B14">
        <w:rPr>
          <w:rFonts w:ascii="Arial" w:hAnsi="Arial" w:cs="Arial"/>
        </w:rPr>
        <w:fldChar w:fldCharType="end"/>
      </w:r>
    </w:p>
    <w:p w14:paraId="763DB76C" w14:textId="7869A6D6" w:rsidR="00C356E6" w:rsidRPr="00EC1B14" w:rsidRDefault="00C356E6" w:rsidP="0015009A">
      <w:pPr>
        <w:spacing w:line="276" w:lineRule="auto"/>
        <w:rPr>
          <w:rFonts w:ascii="Arial" w:hAnsi="Arial" w:cs="Arial"/>
          <w:b/>
          <w:bCs/>
        </w:rPr>
      </w:pPr>
      <w:r w:rsidRPr="00EC1B14">
        <w:rPr>
          <w:rFonts w:ascii="Arial" w:hAnsi="Arial" w:cs="Arial"/>
          <w:b/>
          <w:bCs/>
        </w:rPr>
        <w:t>List of Tables</w:t>
      </w:r>
    </w:p>
    <w:p w14:paraId="700CFF46" w14:textId="67394D1C" w:rsidR="00E02F34" w:rsidRPr="00E02F34" w:rsidRDefault="00C356E6">
      <w:pPr>
        <w:pStyle w:val="TableofFigures"/>
        <w:tabs>
          <w:tab w:val="right" w:leader="dot" w:pos="9016"/>
        </w:tabs>
        <w:rPr>
          <w:rFonts w:ascii="Arial" w:eastAsiaTheme="minorEastAsia" w:hAnsi="Arial" w:cs="Arial"/>
          <w:noProof/>
          <w:sz w:val="24"/>
          <w:szCs w:val="24"/>
          <w:lang w:eastAsia="en-GB"/>
        </w:rPr>
      </w:pPr>
      <w:r w:rsidRPr="00E02F34">
        <w:rPr>
          <w:rFonts w:ascii="Arial" w:hAnsi="Arial" w:cs="Arial"/>
        </w:rPr>
        <w:fldChar w:fldCharType="begin"/>
      </w:r>
      <w:r w:rsidRPr="00E02F34">
        <w:rPr>
          <w:rFonts w:ascii="Arial" w:hAnsi="Arial" w:cs="Arial"/>
        </w:rPr>
        <w:instrText xml:space="preserve"> TOC \h \z \c "Table" </w:instrText>
      </w:r>
      <w:r w:rsidRPr="00E02F34">
        <w:rPr>
          <w:rFonts w:ascii="Arial" w:hAnsi="Arial" w:cs="Arial"/>
        </w:rPr>
        <w:fldChar w:fldCharType="separate"/>
      </w:r>
      <w:hyperlink w:anchor="_Toc171907015" w:history="1">
        <w:r w:rsidR="00E02F34" w:rsidRPr="00E02F34">
          <w:rPr>
            <w:rStyle w:val="Hyperlink"/>
            <w:rFonts w:ascii="Arial" w:hAnsi="Arial" w:cs="Arial"/>
            <w:noProof/>
          </w:rPr>
          <w:t>Table 1: Priority physical climate risks for Kenya</w:t>
        </w:r>
        <w:r w:rsidR="00E02F34" w:rsidRPr="00E02F34">
          <w:rPr>
            <w:rFonts w:ascii="Arial" w:hAnsi="Arial" w:cs="Arial"/>
            <w:noProof/>
            <w:webHidden/>
          </w:rPr>
          <w:tab/>
        </w:r>
        <w:r w:rsidR="00E02F34" w:rsidRPr="00E02F34">
          <w:rPr>
            <w:rFonts w:ascii="Arial" w:hAnsi="Arial" w:cs="Arial"/>
            <w:noProof/>
            <w:webHidden/>
          </w:rPr>
          <w:fldChar w:fldCharType="begin"/>
        </w:r>
        <w:r w:rsidR="00E02F34" w:rsidRPr="00E02F34">
          <w:rPr>
            <w:rFonts w:ascii="Arial" w:hAnsi="Arial" w:cs="Arial"/>
            <w:noProof/>
            <w:webHidden/>
          </w:rPr>
          <w:instrText xml:space="preserve"> PAGEREF _Toc171907015 \h </w:instrText>
        </w:r>
        <w:r w:rsidR="00E02F34" w:rsidRPr="00E02F34">
          <w:rPr>
            <w:rFonts w:ascii="Arial" w:hAnsi="Arial" w:cs="Arial"/>
            <w:noProof/>
            <w:webHidden/>
          </w:rPr>
        </w:r>
        <w:r w:rsidR="00E02F34" w:rsidRPr="00E02F34">
          <w:rPr>
            <w:rFonts w:ascii="Arial" w:hAnsi="Arial" w:cs="Arial"/>
            <w:noProof/>
            <w:webHidden/>
          </w:rPr>
          <w:fldChar w:fldCharType="separate"/>
        </w:r>
        <w:r w:rsidR="00FD6222">
          <w:rPr>
            <w:rFonts w:ascii="Arial" w:hAnsi="Arial" w:cs="Arial"/>
            <w:noProof/>
            <w:webHidden/>
          </w:rPr>
          <w:t>8</w:t>
        </w:r>
        <w:r w:rsidR="00E02F34" w:rsidRPr="00E02F34">
          <w:rPr>
            <w:rFonts w:ascii="Arial" w:hAnsi="Arial" w:cs="Arial"/>
            <w:noProof/>
            <w:webHidden/>
          </w:rPr>
          <w:fldChar w:fldCharType="end"/>
        </w:r>
      </w:hyperlink>
    </w:p>
    <w:p w14:paraId="3DAA15FE" w14:textId="47D113C0" w:rsidR="00E02F34" w:rsidRPr="00E02F34" w:rsidRDefault="00E02F34">
      <w:pPr>
        <w:pStyle w:val="TableofFigures"/>
        <w:tabs>
          <w:tab w:val="right" w:leader="dot" w:pos="9016"/>
        </w:tabs>
        <w:rPr>
          <w:rFonts w:ascii="Arial" w:eastAsiaTheme="minorEastAsia" w:hAnsi="Arial" w:cs="Arial"/>
          <w:noProof/>
          <w:sz w:val="24"/>
          <w:szCs w:val="24"/>
          <w:lang w:eastAsia="en-GB"/>
        </w:rPr>
      </w:pPr>
      <w:hyperlink w:anchor="_Toc171907016" w:history="1">
        <w:r w:rsidRPr="00E02F34">
          <w:rPr>
            <w:rStyle w:val="Hyperlink"/>
            <w:rFonts w:ascii="Arial" w:hAnsi="Arial" w:cs="Arial"/>
            <w:noProof/>
          </w:rPr>
          <w:t>Table 2: Prioritisation of chronic climate physical risks for Kenya</w:t>
        </w:r>
        <w:r w:rsidRPr="00E02F34">
          <w:rPr>
            <w:rFonts w:ascii="Arial" w:hAnsi="Arial" w:cs="Arial"/>
            <w:noProof/>
            <w:webHidden/>
          </w:rPr>
          <w:tab/>
        </w:r>
        <w:r w:rsidRPr="00E02F34">
          <w:rPr>
            <w:rFonts w:ascii="Arial" w:hAnsi="Arial" w:cs="Arial"/>
            <w:noProof/>
            <w:webHidden/>
          </w:rPr>
          <w:fldChar w:fldCharType="begin"/>
        </w:r>
        <w:r w:rsidRPr="00E02F34">
          <w:rPr>
            <w:rFonts w:ascii="Arial" w:hAnsi="Arial" w:cs="Arial"/>
            <w:noProof/>
            <w:webHidden/>
          </w:rPr>
          <w:instrText xml:space="preserve"> PAGEREF _Toc171907016 \h </w:instrText>
        </w:r>
        <w:r w:rsidRPr="00E02F34">
          <w:rPr>
            <w:rFonts w:ascii="Arial" w:hAnsi="Arial" w:cs="Arial"/>
            <w:noProof/>
            <w:webHidden/>
          </w:rPr>
        </w:r>
        <w:r w:rsidRPr="00E02F34">
          <w:rPr>
            <w:rFonts w:ascii="Arial" w:hAnsi="Arial" w:cs="Arial"/>
            <w:noProof/>
            <w:webHidden/>
          </w:rPr>
          <w:fldChar w:fldCharType="separate"/>
        </w:r>
        <w:r w:rsidR="00FD6222">
          <w:rPr>
            <w:rFonts w:ascii="Arial" w:hAnsi="Arial" w:cs="Arial"/>
            <w:noProof/>
            <w:webHidden/>
          </w:rPr>
          <w:t>9</w:t>
        </w:r>
        <w:r w:rsidRPr="00E02F34">
          <w:rPr>
            <w:rFonts w:ascii="Arial" w:hAnsi="Arial" w:cs="Arial"/>
            <w:noProof/>
            <w:webHidden/>
          </w:rPr>
          <w:fldChar w:fldCharType="end"/>
        </w:r>
      </w:hyperlink>
    </w:p>
    <w:p w14:paraId="411A8AF6" w14:textId="108711FD" w:rsidR="00E02F34" w:rsidRPr="00E02F34" w:rsidRDefault="00E02F34">
      <w:pPr>
        <w:pStyle w:val="TableofFigures"/>
        <w:tabs>
          <w:tab w:val="right" w:leader="dot" w:pos="9016"/>
        </w:tabs>
        <w:rPr>
          <w:rFonts w:ascii="Arial" w:eastAsiaTheme="minorEastAsia" w:hAnsi="Arial" w:cs="Arial"/>
          <w:noProof/>
          <w:sz w:val="24"/>
          <w:szCs w:val="24"/>
          <w:lang w:eastAsia="en-GB"/>
        </w:rPr>
      </w:pPr>
      <w:hyperlink w:anchor="_Toc171907017" w:history="1">
        <w:r w:rsidRPr="00E02F34">
          <w:rPr>
            <w:rStyle w:val="Hyperlink"/>
            <w:rFonts w:ascii="Arial" w:hAnsi="Arial" w:cs="Arial"/>
            <w:noProof/>
          </w:rPr>
          <w:t>Table 3: Sectors vulnerable to climate physical risks and their assessment</w:t>
        </w:r>
        <w:r w:rsidRPr="00E02F34">
          <w:rPr>
            <w:rFonts w:ascii="Arial" w:hAnsi="Arial" w:cs="Arial"/>
            <w:noProof/>
            <w:webHidden/>
          </w:rPr>
          <w:tab/>
        </w:r>
        <w:r w:rsidRPr="00E02F34">
          <w:rPr>
            <w:rFonts w:ascii="Arial" w:hAnsi="Arial" w:cs="Arial"/>
            <w:noProof/>
            <w:webHidden/>
          </w:rPr>
          <w:fldChar w:fldCharType="begin"/>
        </w:r>
        <w:r w:rsidRPr="00E02F34">
          <w:rPr>
            <w:rFonts w:ascii="Arial" w:hAnsi="Arial" w:cs="Arial"/>
            <w:noProof/>
            <w:webHidden/>
          </w:rPr>
          <w:instrText xml:space="preserve"> PAGEREF _Toc171907017 \h </w:instrText>
        </w:r>
        <w:r w:rsidRPr="00E02F34">
          <w:rPr>
            <w:rFonts w:ascii="Arial" w:hAnsi="Arial" w:cs="Arial"/>
            <w:noProof/>
            <w:webHidden/>
          </w:rPr>
        </w:r>
        <w:r w:rsidRPr="00E02F34">
          <w:rPr>
            <w:rFonts w:ascii="Arial" w:hAnsi="Arial" w:cs="Arial"/>
            <w:noProof/>
            <w:webHidden/>
          </w:rPr>
          <w:fldChar w:fldCharType="separate"/>
        </w:r>
        <w:r w:rsidR="00FD6222">
          <w:rPr>
            <w:rFonts w:ascii="Arial" w:hAnsi="Arial" w:cs="Arial"/>
            <w:noProof/>
            <w:webHidden/>
          </w:rPr>
          <w:t>10</w:t>
        </w:r>
        <w:r w:rsidRPr="00E02F34">
          <w:rPr>
            <w:rFonts w:ascii="Arial" w:hAnsi="Arial" w:cs="Arial"/>
            <w:noProof/>
            <w:webHidden/>
          </w:rPr>
          <w:fldChar w:fldCharType="end"/>
        </w:r>
      </w:hyperlink>
    </w:p>
    <w:p w14:paraId="3251E978" w14:textId="6337892D" w:rsidR="00E02F34" w:rsidRPr="00E02F34" w:rsidRDefault="00E02F34">
      <w:pPr>
        <w:pStyle w:val="TableofFigures"/>
        <w:tabs>
          <w:tab w:val="right" w:leader="dot" w:pos="9016"/>
        </w:tabs>
        <w:rPr>
          <w:rFonts w:ascii="Arial" w:eastAsiaTheme="minorEastAsia" w:hAnsi="Arial" w:cs="Arial"/>
          <w:noProof/>
          <w:sz w:val="24"/>
          <w:szCs w:val="24"/>
          <w:lang w:eastAsia="en-GB"/>
        </w:rPr>
      </w:pPr>
      <w:hyperlink w:anchor="_Toc171907018" w:history="1">
        <w:r w:rsidRPr="00E02F34">
          <w:rPr>
            <w:rStyle w:val="Hyperlink"/>
            <w:rFonts w:ascii="Arial" w:hAnsi="Arial" w:cs="Arial"/>
            <w:noProof/>
          </w:rPr>
          <w:t>Table 4: Regions and their potential impacts</w:t>
        </w:r>
        <w:r w:rsidRPr="00E02F34">
          <w:rPr>
            <w:rFonts w:ascii="Arial" w:hAnsi="Arial" w:cs="Arial"/>
            <w:noProof/>
            <w:webHidden/>
          </w:rPr>
          <w:tab/>
        </w:r>
        <w:r w:rsidRPr="00E02F34">
          <w:rPr>
            <w:rFonts w:ascii="Arial" w:hAnsi="Arial" w:cs="Arial"/>
            <w:noProof/>
            <w:webHidden/>
          </w:rPr>
          <w:fldChar w:fldCharType="begin"/>
        </w:r>
        <w:r w:rsidRPr="00E02F34">
          <w:rPr>
            <w:rFonts w:ascii="Arial" w:hAnsi="Arial" w:cs="Arial"/>
            <w:noProof/>
            <w:webHidden/>
          </w:rPr>
          <w:instrText xml:space="preserve"> PAGEREF _Toc171907018 \h </w:instrText>
        </w:r>
        <w:r w:rsidRPr="00E02F34">
          <w:rPr>
            <w:rFonts w:ascii="Arial" w:hAnsi="Arial" w:cs="Arial"/>
            <w:noProof/>
            <w:webHidden/>
          </w:rPr>
        </w:r>
        <w:r w:rsidRPr="00E02F34">
          <w:rPr>
            <w:rFonts w:ascii="Arial" w:hAnsi="Arial" w:cs="Arial"/>
            <w:noProof/>
            <w:webHidden/>
          </w:rPr>
          <w:fldChar w:fldCharType="separate"/>
        </w:r>
        <w:r w:rsidR="00FD6222">
          <w:rPr>
            <w:rFonts w:ascii="Arial" w:hAnsi="Arial" w:cs="Arial"/>
            <w:noProof/>
            <w:webHidden/>
          </w:rPr>
          <w:t>10</w:t>
        </w:r>
        <w:r w:rsidRPr="00E02F34">
          <w:rPr>
            <w:rFonts w:ascii="Arial" w:hAnsi="Arial" w:cs="Arial"/>
            <w:noProof/>
            <w:webHidden/>
          </w:rPr>
          <w:fldChar w:fldCharType="end"/>
        </w:r>
      </w:hyperlink>
    </w:p>
    <w:p w14:paraId="0B765BDE" w14:textId="77A72A6D" w:rsidR="00E02F34" w:rsidRPr="00E02F34" w:rsidRDefault="00E02F34">
      <w:pPr>
        <w:pStyle w:val="TableofFigures"/>
        <w:tabs>
          <w:tab w:val="right" w:leader="dot" w:pos="9016"/>
        </w:tabs>
        <w:rPr>
          <w:rFonts w:ascii="Arial" w:eastAsiaTheme="minorEastAsia" w:hAnsi="Arial" w:cs="Arial"/>
          <w:noProof/>
          <w:sz w:val="24"/>
          <w:szCs w:val="24"/>
          <w:lang w:eastAsia="en-GB"/>
        </w:rPr>
      </w:pPr>
      <w:hyperlink w:anchor="_Toc171907019" w:history="1">
        <w:r w:rsidRPr="00E02F34">
          <w:rPr>
            <w:rStyle w:val="Hyperlink"/>
            <w:rFonts w:ascii="Arial" w:hAnsi="Arial" w:cs="Arial"/>
            <w:noProof/>
          </w:rPr>
          <w:t>Table 5: Physical climate risk assessment for vulnerable sectors in Kenya</w:t>
        </w:r>
        <w:r w:rsidRPr="00E02F34">
          <w:rPr>
            <w:rFonts w:ascii="Arial" w:hAnsi="Arial" w:cs="Arial"/>
            <w:noProof/>
            <w:webHidden/>
          </w:rPr>
          <w:tab/>
        </w:r>
        <w:r w:rsidRPr="00E02F34">
          <w:rPr>
            <w:rFonts w:ascii="Arial" w:hAnsi="Arial" w:cs="Arial"/>
            <w:noProof/>
            <w:webHidden/>
          </w:rPr>
          <w:fldChar w:fldCharType="begin"/>
        </w:r>
        <w:r w:rsidRPr="00E02F34">
          <w:rPr>
            <w:rFonts w:ascii="Arial" w:hAnsi="Arial" w:cs="Arial"/>
            <w:noProof/>
            <w:webHidden/>
          </w:rPr>
          <w:instrText xml:space="preserve"> PAGEREF _Toc171907019 \h </w:instrText>
        </w:r>
        <w:r w:rsidRPr="00E02F34">
          <w:rPr>
            <w:rFonts w:ascii="Arial" w:hAnsi="Arial" w:cs="Arial"/>
            <w:noProof/>
            <w:webHidden/>
          </w:rPr>
        </w:r>
        <w:r w:rsidRPr="00E02F34">
          <w:rPr>
            <w:rFonts w:ascii="Arial" w:hAnsi="Arial" w:cs="Arial"/>
            <w:noProof/>
            <w:webHidden/>
          </w:rPr>
          <w:fldChar w:fldCharType="separate"/>
        </w:r>
        <w:r w:rsidR="00FD6222">
          <w:rPr>
            <w:rFonts w:ascii="Arial" w:hAnsi="Arial" w:cs="Arial"/>
            <w:noProof/>
            <w:webHidden/>
          </w:rPr>
          <w:t>13</w:t>
        </w:r>
        <w:r w:rsidRPr="00E02F34">
          <w:rPr>
            <w:rFonts w:ascii="Arial" w:hAnsi="Arial" w:cs="Arial"/>
            <w:noProof/>
            <w:webHidden/>
          </w:rPr>
          <w:fldChar w:fldCharType="end"/>
        </w:r>
      </w:hyperlink>
    </w:p>
    <w:p w14:paraId="56AEFAC3" w14:textId="7F5AA052" w:rsidR="00E02F34" w:rsidRPr="00E02F34" w:rsidRDefault="00E02F34">
      <w:pPr>
        <w:pStyle w:val="TableofFigures"/>
        <w:tabs>
          <w:tab w:val="right" w:leader="dot" w:pos="9016"/>
        </w:tabs>
        <w:rPr>
          <w:rFonts w:ascii="Arial" w:eastAsiaTheme="minorEastAsia" w:hAnsi="Arial" w:cs="Arial"/>
          <w:noProof/>
          <w:sz w:val="24"/>
          <w:szCs w:val="24"/>
          <w:lang w:eastAsia="en-GB"/>
        </w:rPr>
      </w:pPr>
      <w:hyperlink w:anchor="_Toc171907020" w:history="1">
        <w:r w:rsidRPr="00E02F34">
          <w:rPr>
            <w:rStyle w:val="Hyperlink"/>
            <w:rFonts w:ascii="Arial" w:hAnsi="Arial" w:cs="Arial"/>
            <w:noProof/>
          </w:rPr>
          <w:t>Table 6: Transition risk drivers</w:t>
        </w:r>
        <w:r w:rsidRPr="00E02F34">
          <w:rPr>
            <w:rFonts w:ascii="Arial" w:hAnsi="Arial" w:cs="Arial"/>
            <w:noProof/>
            <w:webHidden/>
          </w:rPr>
          <w:tab/>
        </w:r>
        <w:r w:rsidRPr="00E02F34">
          <w:rPr>
            <w:rFonts w:ascii="Arial" w:hAnsi="Arial" w:cs="Arial"/>
            <w:noProof/>
            <w:webHidden/>
          </w:rPr>
          <w:fldChar w:fldCharType="begin"/>
        </w:r>
        <w:r w:rsidRPr="00E02F34">
          <w:rPr>
            <w:rFonts w:ascii="Arial" w:hAnsi="Arial" w:cs="Arial"/>
            <w:noProof/>
            <w:webHidden/>
          </w:rPr>
          <w:instrText xml:space="preserve"> PAGEREF _Toc171907020 \h </w:instrText>
        </w:r>
        <w:r w:rsidRPr="00E02F34">
          <w:rPr>
            <w:rFonts w:ascii="Arial" w:hAnsi="Arial" w:cs="Arial"/>
            <w:noProof/>
            <w:webHidden/>
          </w:rPr>
        </w:r>
        <w:r w:rsidRPr="00E02F34">
          <w:rPr>
            <w:rFonts w:ascii="Arial" w:hAnsi="Arial" w:cs="Arial"/>
            <w:noProof/>
            <w:webHidden/>
          </w:rPr>
          <w:fldChar w:fldCharType="separate"/>
        </w:r>
        <w:r w:rsidR="00FD6222">
          <w:rPr>
            <w:rFonts w:ascii="Arial" w:hAnsi="Arial" w:cs="Arial"/>
            <w:noProof/>
            <w:webHidden/>
          </w:rPr>
          <w:t>17</w:t>
        </w:r>
        <w:r w:rsidRPr="00E02F34">
          <w:rPr>
            <w:rFonts w:ascii="Arial" w:hAnsi="Arial" w:cs="Arial"/>
            <w:noProof/>
            <w:webHidden/>
          </w:rPr>
          <w:fldChar w:fldCharType="end"/>
        </w:r>
      </w:hyperlink>
    </w:p>
    <w:p w14:paraId="75331A4D" w14:textId="11D6DDA4" w:rsidR="00C356E6" w:rsidRPr="00EC1B14" w:rsidRDefault="00C356E6" w:rsidP="0015009A">
      <w:pPr>
        <w:spacing w:after="0" w:line="276" w:lineRule="auto"/>
        <w:rPr>
          <w:rFonts w:ascii="Arial" w:hAnsi="Arial" w:cs="Arial"/>
          <w:b/>
          <w:bCs/>
        </w:rPr>
      </w:pPr>
      <w:r w:rsidRPr="00E02F34">
        <w:rPr>
          <w:rFonts w:ascii="Arial" w:hAnsi="Arial" w:cs="Arial"/>
        </w:rPr>
        <w:fldChar w:fldCharType="end"/>
      </w:r>
    </w:p>
    <w:p w14:paraId="7022E89A" w14:textId="77777777" w:rsidR="00DB4D8D" w:rsidRPr="00EC1B14" w:rsidRDefault="00C356E6" w:rsidP="00D25F24">
      <w:pPr>
        <w:spacing w:line="240" w:lineRule="auto"/>
        <w:rPr>
          <w:rFonts w:ascii="Arial" w:hAnsi="Arial" w:cs="Arial"/>
          <w:b/>
          <w:bCs/>
        </w:rPr>
        <w:sectPr w:rsidR="00DB4D8D" w:rsidRPr="00EC1B14" w:rsidSect="00CF021E">
          <w:footerReference w:type="even" r:id="rId26"/>
          <w:footerReference w:type="default" r:id="rId27"/>
          <w:footerReference w:type="first" r:id="rId28"/>
          <w:pgSz w:w="11906" w:h="16838"/>
          <w:pgMar w:top="1440" w:right="1440" w:bottom="1560" w:left="1440" w:header="475" w:footer="707" w:gutter="0"/>
          <w:pgNumType w:start="1"/>
          <w:cols w:space="708"/>
          <w:docGrid w:linePitch="360"/>
        </w:sectPr>
      </w:pPr>
      <w:r w:rsidRPr="00EC1B14">
        <w:rPr>
          <w:rFonts w:ascii="Arial" w:hAnsi="Arial" w:cs="Arial"/>
          <w:b/>
          <w:bCs/>
        </w:rPr>
        <w:br w:type="page"/>
      </w:r>
    </w:p>
    <w:p w14:paraId="0977FBC4" w14:textId="5AD355D0" w:rsidR="00E64C45" w:rsidRPr="00EC1B14" w:rsidRDefault="00E64C45" w:rsidP="00D25F24">
      <w:pPr>
        <w:pStyle w:val="Heading1"/>
        <w:spacing w:before="100" w:beforeAutospacing="1" w:after="100" w:afterAutospacing="1" w:line="240" w:lineRule="auto"/>
        <w:rPr>
          <w:rFonts w:ascii="Arial" w:hAnsi="Arial" w:cs="Arial"/>
          <w:b/>
          <w:bCs/>
          <w:color w:val="auto"/>
          <w:sz w:val="26"/>
          <w:szCs w:val="26"/>
        </w:rPr>
      </w:pPr>
      <w:bookmarkStart w:id="2" w:name="_Toc171906991"/>
      <w:r w:rsidRPr="00EC1B14">
        <w:rPr>
          <w:rFonts w:ascii="Arial" w:hAnsi="Arial" w:cs="Arial"/>
          <w:b/>
          <w:bCs/>
          <w:color w:val="auto"/>
          <w:sz w:val="26"/>
          <w:szCs w:val="26"/>
        </w:rPr>
        <w:lastRenderedPageBreak/>
        <w:t>Executive Summary</w:t>
      </w:r>
      <w:bookmarkEnd w:id="1"/>
      <w:bookmarkEnd w:id="2"/>
      <w:r w:rsidRPr="00EC1B14">
        <w:rPr>
          <w:rFonts w:ascii="Arial" w:hAnsi="Arial" w:cs="Arial"/>
          <w:b/>
          <w:bCs/>
          <w:color w:val="auto"/>
          <w:sz w:val="26"/>
          <w:szCs w:val="26"/>
        </w:rPr>
        <w:t xml:space="preserve"> </w:t>
      </w:r>
    </w:p>
    <w:p w14:paraId="62211C8F" w14:textId="65B0497F" w:rsidR="004C289A" w:rsidRPr="00EC1B14" w:rsidRDefault="004C289A" w:rsidP="00D25F24">
      <w:pPr>
        <w:spacing w:before="100" w:beforeAutospacing="1" w:after="100" w:afterAutospacing="1" w:line="240" w:lineRule="auto"/>
        <w:jc w:val="both"/>
        <w:rPr>
          <w:rFonts w:ascii="Arial" w:hAnsi="Arial" w:cs="Arial"/>
        </w:rPr>
      </w:pPr>
      <w:r w:rsidRPr="00EC1B14">
        <w:rPr>
          <w:rFonts w:ascii="Arial" w:hAnsi="Arial" w:cs="Arial"/>
        </w:rPr>
        <w:t xml:space="preserve">Physical climate risks in Kenya are of great concern, with acute (event-driven) and chronic (long-term climate shifts) risks presenting direct and indirect financial implications for </w:t>
      </w:r>
      <w:r w:rsidR="00373420" w:rsidRPr="00EC1B14">
        <w:rPr>
          <w:rFonts w:ascii="Arial" w:hAnsi="Arial" w:cs="Arial"/>
        </w:rPr>
        <w:t>organisations</w:t>
      </w:r>
      <w:r w:rsidRPr="00EC1B14">
        <w:rPr>
          <w:rFonts w:ascii="Arial" w:hAnsi="Arial" w:cs="Arial"/>
        </w:rPr>
        <w:t xml:space="preserve">. These risks include droughts, rising sea levels, temperature increases, flooding, and storms, each carrying significant consequences for various economic sectors. Identifying these risks requires a multifaceted process, incorporating </w:t>
      </w:r>
      <w:r w:rsidR="00AE22A0" w:rsidRPr="00EC1B14">
        <w:rPr>
          <w:rFonts w:ascii="Arial" w:hAnsi="Arial" w:cs="Arial"/>
        </w:rPr>
        <w:t xml:space="preserve">climate projections, </w:t>
      </w:r>
      <w:r w:rsidRPr="00EC1B14">
        <w:rPr>
          <w:rFonts w:ascii="Arial" w:hAnsi="Arial" w:cs="Arial"/>
        </w:rPr>
        <w:t xml:space="preserve">historical climate data, </w:t>
      </w:r>
      <w:r w:rsidR="00D8288A" w:rsidRPr="00EC1B14">
        <w:rPr>
          <w:rFonts w:ascii="Arial" w:hAnsi="Arial" w:cs="Arial"/>
        </w:rPr>
        <w:t xml:space="preserve">and </w:t>
      </w:r>
      <w:r w:rsidRPr="00EC1B14">
        <w:rPr>
          <w:rFonts w:ascii="Arial" w:hAnsi="Arial" w:cs="Arial"/>
        </w:rPr>
        <w:t xml:space="preserve">regional vulnerabilities. </w:t>
      </w:r>
    </w:p>
    <w:p w14:paraId="740C81EA" w14:textId="026CF5D7" w:rsidR="004C289A" w:rsidRPr="00EC1B14" w:rsidRDefault="004C289A" w:rsidP="00D25F24">
      <w:pPr>
        <w:spacing w:before="100" w:beforeAutospacing="1" w:after="100" w:afterAutospacing="1" w:line="240" w:lineRule="auto"/>
        <w:jc w:val="both"/>
        <w:rPr>
          <w:rFonts w:ascii="Arial" w:hAnsi="Arial" w:cs="Arial"/>
        </w:rPr>
      </w:pPr>
      <w:r w:rsidRPr="00EC1B14">
        <w:rPr>
          <w:rFonts w:ascii="Arial" w:hAnsi="Arial" w:cs="Arial"/>
        </w:rPr>
        <w:t xml:space="preserve">The geographical diversity of Kenya leads to a spectrum of </w:t>
      </w:r>
      <w:r w:rsidR="002151E5" w:rsidRPr="00EC1B14">
        <w:rPr>
          <w:rFonts w:ascii="Arial" w:hAnsi="Arial" w:cs="Arial"/>
        </w:rPr>
        <w:t>climate physical risks</w:t>
      </w:r>
      <w:r w:rsidRPr="00EC1B14">
        <w:rPr>
          <w:rFonts w:ascii="Arial" w:hAnsi="Arial" w:cs="Arial"/>
        </w:rPr>
        <w:t xml:space="preserve"> impacting different regions and sectors in distinct ways. Coastal areas, for example, face challenges such as rising sea levels and increased storm frequency, while inland regions grapple with droughts and changing agricultural conditions. Understanding these regional and sectoral susceptibilities is crucial for banks to formulate informed strategies to enhance resilience and mitigate adverse environmental effects. Moreover, banks play a pivotal role in fostering climate resilience by incorporating climate risk assessments into their lending practices, evaluating the vulnerability of potential borrowers, and considering their exposure to climate-sensitive industries.</w:t>
      </w:r>
    </w:p>
    <w:p w14:paraId="3655FCFC" w14:textId="4135DDA0" w:rsidR="004C289A" w:rsidRDefault="004C289A" w:rsidP="00D25F24">
      <w:pPr>
        <w:spacing w:before="100" w:beforeAutospacing="1" w:after="100" w:afterAutospacing="1" w:line="240" w:lineRule="auto"/>
        <w:jc w:val="both"/>
        <w:rPr>
          <w:rFonts w:ascii="Arial" w:hAnsi="Arial" w:cs="Arial"/>
        </w:rPr>
      </w:pPr>
      <w:r w:rsidRPr="00EC1B14">
        <w:rPr>
          <w:rFonts w:ascii="Arial" w:hAnsi="Arial" w:cs="Arial"/>
        </w:rPr>
        <w:t>Transition risks are another critical factor for Kenyan banks. These risks encompass policy and legal changes, technological advancements, market dynamics, and reputational consequences resulting from the global shift towards a lower-carbon economy. Kenya's commitment to the Paris Agreement and its updated Nationally Determined Contributions (NDCs)</w:t>
      </w:r>
      <w:r w:rsidR="00AF3BC7" w:rsidRPr="00EC1B14">
        <w:rPr>
          <w:rStyle w:val="FootnoteReference"/>
          <w:rFonts w:ascii="Arial" w:hAnsi="Arial" w:cs="Arial"/>
        </w:rPr>
        <w:footnoteReference w:id="2"/>
      </w:r>
      <w:r w:rsidRPr="00EC1B14">
        <w:rPr>
          <w:rFonts w:ascii="Arial" w:hAnsi="Arial" w:cs="Arial"/>
        </w:rPr>
        <w:t xml:space="preserve"> </w:t>
      </w:r>
      <w:r w:rsidR="00373420" w:rsidRPr="00EC1B14">
        <w:rPr>
          <w:rFonts w:ascii="Arial" w:hAnsi="Arial" w:cs="Arial"/>
        </w:rPr>
        <w:t>highlights</w:t>
      </w:r>
      <w:r w:rsidRPr="00EC1B14">
        <w:rPr>
          <w:rFonts w:ascii="Arial" w:hAnsi="Arial" w:cs="Arial"/>
        </w:rPr>
        <w:t xml:space="preserve"> </w:t>
      </w:r>
      <w:r w:rsidR="00373420" w:rsidRPr="00EC1B14">
        <w:rPr>
          <w:rFonts w:ascii="Arial" w:hAnsi="Arial" w:cs="Arial"/>
        </w:rPr>
        <w:t>its</w:t>
      </w:r>
      <w:r w:rsidRPr="00EC1B14">
        <w:rPr>
          <w:rFonts w:ascii="Arial" w:hAnsi="Arial" w:cs="Arial"/>
        </w:rPr>
        <w:t xml:space="preserve"> dedication to reducing greenhouse gas emissions and transitioning to a sustainable, low-carbon economy. </w:t>
      </w:r>
      <w:r w:rsidR="00C8086E" w:rsidRPr="00EC1B14">
        <w:rPr>
          <w:rFonts w:ascii="Arial" w:hAnsi="Arial" w:cs="Arial"/>
        </w:rPr>
        <w:t>Recognising</w:t>
      </w:r>
      <w:r w:rsidRPr="00EC1B14">
        <w:rPr>
          <w:rFonts w:ascii="Arial" w:hAnsi="Arial" w:cs="Arial"/>
        </w:rPr>
        <w:t xml:space="preserve"> and managing these </w:t>
      </w:r>
      <w:r w:rsidR="002151E5" w:rsidRPr="00EC1B14">
        <w:rPr>
          <w:rFonts w:ascii="Arial" w:hAnsi="Arial" w:cs="Arial"/>
        </w:rPr>
        <w:t>climate transition risks</w:t>
      </w:r>
      <w:r w:rsidRPr="00EC1B14">
        <w:rPr>
          <w:rFonts w:ascii="Arial" w:hAnsi="Arial" w:cs="Arial"/>
        </w:rPr>
        <w:t xml:space="preserve"> is essential for businesses to adapt effectively to the changing economic and regulatory landscape.</w:t>
      </w:r>
    </w:p>
    <w:p w14:paraId="6C884BFE" w14:textId="77777777" w:rsidR="00953731" w:rsidRPr="00953731" w:rsidRDefault="00953731" w:rsidP="00953731">
      <w:pPr>
        <w:pStyle w:val="Heading1"/>
        <w:spacing w:before="100" w:beforeAutospacing="1" w:after="100" w:afterAutospacing="1" w:line="240" w:lineRule="auto"/>
        <w:rPr>
          <w:rFonts w:ascii="Arial" w:hAnsi="Arial" w:cs="Arial"/>
          <w:b/>
          <w:bCs/>
          <w:color w:val="auto"/>
          <w:sz w:val="26"/>
          <w:szCs w:val="26"/>
        </w:rPr>
      </w:pPr>
      <w:r w:rsidRPr="00953731">
        <w:rPr>
          <w:rFonts w:ascii="Arial" w:hAnsi="Arial" w:cs="Arial"/>
          <w:b/>
          <w:bCs/>
          <w:color w:val="auto"/>
          <w:sz w:val="26"/>
          <w:szCs w:val="26"/>
        </w:rPr>
        <w:t xml:space="preserve">Acknowledgements </w:t>
      </w:r>
    </w:p>
    <w:p w14:paraId="2A80B07A" w14:textId="59A650DD" w:rsidR="00953731" w:rsidRDefault="00953731" w:rsidP="00FD6222">
      <w:pPr>
        <w:spacing w:after="0" w:line="240" w:lineRule="auto"/>
        <w:rPr>
          <w:rFonts w:ascii="Arial" w:eastAsia="Times New Roman" w:hAnsi="Arial" w:cs="Arial"/>
          <w:color w:val="000000"/>
          <w:kern w:val="0"/>
          <w:lang w:eastAsia="en-GB"/>
          <w14:ligatures w14:val="none"/>
        </w:rPr>
      </w:pPr>
      <w:r w:rsidRPr="00953731">
        <w:rPr>
          <w:rFonts w:ascii="Arial" w:eastAsia="Times New Roman" w:hAnsi="Arial" w:cs="Arial"/>
          <w:color w:val="000000"/>
          <w:kern w:val="0"/>
          <w:lang w:eastAsia="en-GB"/>
          <w14:ligatures w14:val="none"/>
        </w:rPr>
        <w:t xml:space="preserve">This project is implemented by a Consortium led by </w:t>
      </w:r>
      <w:r w:rsidR="00FD6222" w:rsidRPr="00FD6222">
        <w:rPr>
          <w:rFonts w:ascii="Arial" w:eastAsia="Times New Roman" w:hAnsi="Arial" w:cs="Arial"/>
          <w:color w:val="000000"/>
          <w:kern w:val="0"/>
          <w:lang w:eastAsia="en-GB"/>
          <w14:ligatures w14:val="none"/>
        </w:rPr>
        <w:t xml:space="preserve">Development Alternatives Incorporated (DAI), in partnership with Application Européenne de Technologies et de Services (AETS) and Belgian Bankers Academy (BBA). </w:t>
      </w:r>
      <w:r w:rsidRPr="00953731">
        <w:rPr>
          <w:rFonts w:ascii="Arial" w:eastAsia="Times New Roman" w:hAnsi="Arial" w:cs="Arial"/>
          <w:color w:val="000000"/>
          <w:kern w:val="0"/>
          <w:lang w:eastAsia="en-GB"/>
          <w14:ligatures w14:val="none"/>
        </w:rPr>
        <w:t>The technical assistance operation is financed under the International Climate Initiative Fund (the “IKI Fund”), established with funding from the German Federal Ministry of Economic Affairs</w:t>
      </w:r>
      <w:r w:rsidR="00FD6222">
        <w:rPr>
          <w:rFonts w:ascii="Arial" w:eastAsia="Times New Roman" w:hAnsi="Arial" w:cs="Arial"/>
          <w:color w:val="000000"/>
          <w:kern w:val="0"/>
          <w:lang w:eastAsia="en-GB"/>
          <w14:ligatures w14:val="none"/>
        </w:rPr>
        <w:t xml:space="preserve">, </w:t>
      </w:r>
      <w:r w:rsidR="00FD6222" w:rsidRPr="00FD6222">
        <w:rPr>
          <w:rFonts w:ascii="Arial" w:eastAsia="Times New Roman" w:hAnsi="Arial" w:cs="Arial"/>
          <w:color w:val="000000"/>
          <w:kern w:val="0"/>
          <w:lang w:eastAsia="en-GB"/>
          <w14:ligatures w14:val="none"/>
        </w:rPr>
        <w:t>Kenya Meteorological Department</w:t>
      </w:r>
      <w:r w:rsidRPr="00953731">
        <w:rPr>
          <w:rFonts w:ascii="Arial" w:eastAsia="Times New Roman" w:hAnsi="Arial" w:cs="Arial"/>
          <w:color w:val="000000"/>
          <w:kern w:val="0"/>
          <w:lang w:eastAsia="en-GB"/>
          <w14:ligatures w14:val="none"/>
        </w:rPr>
        <w:t xml:space="preserve"> and Climate Action (“BMWK”). The IKI Fund is a Fund established between the EIB and the BMWK to catalyze investments dedicated towards mitigating greenhouse gas emissions and adapting to the effects of climate change in developing countries and emerging economies. </w:t>
      </w:r>
    </w:p>
    <w:p w14:paraId="5E9BEA37" w14:textId="77777777" w:rsidR="003D6338" w:rsidRPr="00953731" w:rsidRDefault="003D6338" w:rsidP="000F7597">
      <w:pPr>
        <w:spacing w:after="0" w:line="240" w:lineRule="auto"/>
        <w:jc w:val="both"/>
        <w:rPr>
          <w:rFonts w:ascii="Arial" w:eastAsia="Times New Roman" w:hAnsi="Arial" w:cs="Arial"/>
          <w:kern w:val="0"/>
          <w:lang w:eastAsia="en-GB"/>
          <w14:ligatures w14:val="none"/>
        </w:rPr>
      </w:pPr>
    </w:p>
    <w:p w14:paraId="65A674C0" w14:textId="53A02184" w:rsidR="00953731" w:rsidRDefault="00953731" w:rsidP="000F7597">
      <w:pPr>
        <w:spacing w:after="0" w:line="240" w:lineRule="auto"/>
        <w:jc w:val="both"/>
        <w:rPr>
          <w:rFonts w:ascii="Arial" w:eastAsia="Times New Roman" w:hAnsi="Arial" w:cs="Arial"/>
          <w:color w:val="000000"/>
          <w:kern w:val="0"/>
          <w:lang w:eastAsia="en-GB"/>
          <w14:ligatures w14:val="none"/>
        </w:rPr>
      </w:pPr>
      <w:r w:rsidRPr="00953731">
        <w:rPr>
          <w:rFonts w:ascii="Arial" w:eastAsia="Times New Roman" w:hAnsi="Arial" w:cs="Arial"/>
          <w:color w:val="000000"/>
          <w:kern w:val="0"/>
          <w:lang w:eastAsia="en-GB"/>
          <w14:ligatures w14:val="none"/>
        </w:rPr>
        <w:t xml:space="preserve">Disclaimer: The authors take full responsibility for the content of this report. The opinions expressed do not necessarily reflect the view of the BMWK and of the EIB. </w:t>
      </w:r>
    </w:p>
    <w:p w14:paraId="683632ED" w14:textId="77777777" w:rsidR="00DF2864" w:rsidRDefault="00DF2864" w:rsidP="000F7597">
      <w:pPr>
        <w:spacing w:after="0" w:line="240" w:lineRule="auto"/>
        <w:jc w:val="both"/>
        <w:rPr>
          <w:rFonts w:ascii="Arial" w:eastAsia="Times New Roman" w:hAnsi="Arial" w:cs="Arial"/>
          <w:color w:val="000000"/>
          <w:kern w:val="0"/>
          <w:lang w:eastAsia="en-GB"/>
          <w14:ligatures w14:val="none"/>
        </w:rPr>
      </w:pPr>
    </w:p>
    <w:p w14:paraId="5E15B8AA" w14:textId="3BC8ED9C" w:rsidR="00EF4E2A" w:rsidRPr="00EF4E2A" w:rsidRDefault="00DF2864" w:rsidP="00EF4E2A">
      <w:pPr>
        <w:spacing w:after="0" w:line="240" w:lineRule="auto"/>
        <w:jc w:val="both"/>
        <w:rPr>
          <w:rFonts w:ascii="Arial" w:eastAsia="Times New Roman" w:hAnsi="Arial" w:cs="Arial"/>
          <w:color w:val="000000"/>
          <w:kern w:val="0"/>
          <w:lang w:eastAsia="en-GB"/>
          <w14:ligatures w14:val="none"/>
        </w:rPr>
      </w:pPr>
      <w:r w:rsidRPr="008A0748">
        <w:rPr>
          <w:rFonts w:ascii="Arial" w:eastAsia="Times New Roman" w:hAnsi="Arial" w:cs="Arial"/>
          <w:color w:val="000000"/>
          <w:kern w:val="0"/>
          <w:lang w:eastAsia="en-GB"/>
          <w14:ligatures w14:val="none"/>
        </w:rPr>
        <w:t>Authors:</w:t>
      </w:r>
      <w:r w:rsidR="00E01724">
        <w:rPr>
          <w:rFonts w:ascii="Arial" w:eastAsia="Times New Roman" w:hAnsi="Arial" w:cs="Arial"/>
          <w:color w:val="000000"/>
          <w:kern w:val="0"/>
          <w:lang w:eastAsia="en-GB"/>
          <w14:ligatures w14:val="none"/>
        </w:rPr>
        <w:t xml:space="preserve"> </w:t>
      </w:r>
      <w:r w:rsidR="00EF4E2A" w:rsidRPr="00EF4E2A">
        <w:rPr>
          <w:rFonts w:ascii="Arial" w:eastAsia="Times New Roman" w:hAnsi="Arial" w:cs="Arial"/>
          <w:color w:val="000000"/>
          <w:kern w:val="0"/>
          <w:lang w:eastAsia="en-GB"/>
          <w14:ligatures w14:val="none"/>
        </w:rPr>
        <w:t xml:space="preserve">This document was produced and coordinated with significant contributions from the project team at CBK and authors Marjan Stojiljkovic and Enrique Rebolledo, with substantial inputs provided by </w:t>
      </w:r>
      <w:r w:rsidR="00EF4E2A" w:rsidRPr="008A0748">
        <w:rPr>
          <w:rFonts w:ascii="Arial" w:eastAsia="Times New Roman" w:hAnsi="Arial" w:cs="Arial"/>
          <w:color w:val="000000"/>
          <w:kern w:val="0"/>
          <w:lang w:eastAsia="en-GB"/>
          <w14:ligatures w14:val="none"/>
        </w:rPr>
        <w:t xml:space="preserve">Patrick Nganga, Hussein Anooshah, and </w:t>
      </w:r>
      <w:r w:rsidR="00EF4E2A" w:rsidRPr="008A0748">
        <w:rPr>
          <w:rStyle w:val="outlook-search-highlight"/>
          <w:rFonts w:ascii="Arial" w:hAnsi="Arial" w:cs="Arial"/>
          <w:color w:val="000000"/>
        </w:rPr>
        <w:t>Chloe</w:t>
      </w:r>
      <w:r w:rsidR="00EF4E2A" w:rsidRPr="008A0748">
        <w:rPr>
          <w:rFonts w:ascii="Arial" w:hAnsi="Arial" w:cs="Arial"/>
          <w:color w:val="000000"/>
        </w:rPr>
        <w:t xml:space="preserve"> Prodhomme.</w:t>
      </w:r>
    </w:p>
    <w:p w14:paraId="101DB0D6" w14:textId="77777777" w:rsidR="00EF4E2A" w:rsidRPr="00953731" w:rsidRDefault="00EF4E2A" w:rsidP="000F7597">
      <w:pPr>
        <w:spacing w:after="0" w:line="240" w:lineRule="auto"/>
        <w:jc w:val="both"/>
        <w:rPr>
          <w:rFonts w:ascii="Arial" w:eastAsia="Times New Roman" w:hAnsi="Arial" w:cs="Arial"/>
          <w:kern w:val="0"/>
          <w:lang w:eastAsia="en-GB"/>
          <w14:ligatures w14:val="none"/>
        </w:rPr>
      </w:pPr>
    </w:p>
    <w:p w14:paraId="2DD25761" w14:textId="2228626C" w:rsidR="00953731" w:rsidRPr="00953731" w:rsidRDefault="00953731" w:rsidP="00953731">
      <w:pPr>
        <w:rPr>
          <w:rFonts w:ascii="Arial" w:hAnsi="Arial" w:cs="Arial"/>
        </w:rPr>
      </w:pPr>
      <w:r>
        <w:rPr>
          <w:rFonts w:ascii="Arial" w:hAnsi="Arial" w:cs="Arial"/>
        </w:rPr>
        <w:br w:type="page"/>
      </w:r>
    </w:p>
    <w:p w14:paraId="2C526140" w14:textId="1ECF46D6" w:rsidR="00E64C45" w:rsidRPr="00EC1B14" w:rsidRDefault="00E64C45" w:rsidP="00D25F24">
      <w:pPr>
        <w:pStyle w:val="Heading1"/>
        <w:numPr>
          <w:ilvl w:val="0"/>
          <w:numId w:val="9"/>
        </w:numPr>
        <w:spacing w:before="100" w:beforeAutospacing="1" w:after="100" w:afterAutospacing="1" w:line="240" w:lineRule="auto"/>
        <w:rPr>
          <w:rFonts w:ascii="Arial" w:hAnsi="Arial" w:cs="Arial"/>
          <w:b/>
          <w:bCs/>
          <w:color w:val="auto"/>
          <w:sz w:val="26"/>
          <w:szCs w:val="26"/>
        </w:rPr>
      </w:pPr>
      <w:bookmarkStart w:id="3" w:name="_Toc159248345"/>
      <w:bookmarkStart w:id="4" w:name="_Toc171906992"/>
      <w:r w:rsidRPr="00EC1B14">
        <w:rPr>
          <w:rFonts w:ascii="Arial" w:hAnsi="Arial" w:cs="Arial"/>
          <w:b/>
          <w:bCs/>
          <w:color w:val="auto"/>
          <w:sz w:val="26"/>
          <w:szCs w:val="26"/>
        </w:rPr>
        <w:lastRenderedPageBreak/>
        <w:t>Introduction</w:t>
      </w:r>
      <w:bookmarkEnd w:id="3"/>
      <w:bookmarkEnd w:id="4"/>
    </w:p>
    <w:p w14:paraId="1FE67D2C" w14:textId="7B1C6A06" w:rsidR="004B6375" w:rsidRPr="00EC1B14" w:rsidRDefault="004B6375" w:rsidP="00D25F24">
      <w:pPr>
        <w:pStyle w:val="NoSpacing"/>
        <w:spacing w:before="100" w:beforeAutospacing="1" w:after="100" w:afterAutospacing="1"/>
        <w:jc w:val="both"/>
        <w:rPr>
          <w:rFonts w:ascii="Arial" w:hAnsi="Arial" w:cs="Arial"/>
        </w:rPr>
      </w:pPr>
      <w:r w:rsidRPr="00EC1B14">
        <w:rPr>
          <w:rFonts w:ascii="Arial" w:hAnsi="Arial" w:cs="Arial"/>
        </w:rPr>
        <w:t xml:space="preserve">In the ever-changing realm of climate change, financial institutions are encountering a blend of challenges and opportunities </w:t>
      </w:r>
      <w:r w:rsidR="00647A6A" w:rsidRPr="00EC1B14">
        <w:rPr>
          <w:rFonts w:ascii="Arial" w:hAnsi="Arial" w:cs="Arial"/>
        </w:rPr>
        <w:t>emanating from</w:t>
      </w:r>
      <w:r w:rsidRPr="00EC1B14">
        <w:rPr>
          <w:rFonts w:ascii="Arial" w:hAnsi="Arial" w:cs="Arial"/>
        </w:rPr>
        <w:t xml:space="preserve"> physical and transitional risks. As global efforts shift towards a lower carbon economy, financial portfolios are increasingly prone to disruptions and transformative influences. This scenario demands a thorough grasp of the possible effects on these portfolios. These impacts are diverse, reaching beyond simple financial metrics, including regulatory adherence, reputation management, and alignment with changing societal norms. In Kenya, financial institutions must </w:t>
      </w:r>
      <w:r w:rsidR="002151E5" w:rsidRPr="00EC1B14">
        <w:rPr>
          <w:rFonts w:ascii="Arial" w:hAnsi="Arial" w:cs="Arial"/>
        </w:rPr>
        <w:t>skilfully</w:t>
      </w:r>
      <w:r w:rsidRPr="00EC1B14">
        <w:rPr>
          <w:rFonts w:ascii="Arial" w:hAnsi="Arial" w:cs="Arial"/>
        </w:rPr>
        <w:t xml:space="preserve"> traverse this complex environment, identifying vulnerabilities and exploring sustainable investment and strategic growth opportunities.</w:t>
      </w:r>
    </w:p>
    <w:p w14:paraId="685CB761" w14:textId="77777777" w:rsidR="004B6375" w:rsidRPr="00EC1B14" w:rsidRDefault="004B6375" w:rsidP="00D25F24">
      <w:pPr>
        <w:pStyle w:val="NoSpacing"/>
        <w:spacing w:before="100" w:beforeAutospacing="1" w:after="100" w:afterAutospacing="1"/>
        <w:jc w:val="both"/>
        <w:rPr>
          <w:rFonts w:ascii="Arial" w:hAnsi="Arial" w:cs="Arial"/>
        </w:rPr>
      </w:pPr>
      <w:r w:rsidRPr="00EC1B14">
        <w:rPr>
          <w:rFonts w:ascii="Arial" w:hAnsi="Arial" w:cs="Arial"/>
        </w:rPr>
        <w:t>By analysing these impacts, stakeholders in the financial sector can gain insights into the resilience and adaptability of their portfolios. This knowledge is crucial for developing proactive strategies that protect portfolios from negative impacts and position financial institutions as contributors to a sustainable, low-carbon future. This exploration aims to equip Kenyan financial institutions with the knowledge to make informed decisions, embrace sustainable investment opportunities, and strengthen their portfolios against climate change-related challenges.</w:t>
      </w:r>
    </w:p>
    <w:p w14:paraId="12DB29D1" w14:textId="604C870E" w:rsidR="004B6375" w:rsidRPr="00EC1B14" w:rsidRDefault="004B6375" w:rsidP="00D25F24">
      <w:pPr>
        <w:pStyle w:val="NoSpacing"/>
        <w:spacing w:before="100" w:beforeAutospacing="1" w:after="100" w:afterAutospacing="1"/>
        <w:jc w:val="both"/>
        <w:rPr>
          <w:rFonts w:ascii="Arial" w:hAnsi="Arial" w:cs="Arial"/>
        </w:rPr>
      </w:pPr>
      <w:r w:rsidRPr="00EC1B14">
        <w:rPr>
          <w:rFonts w:ascii="Arial" w:hAnsi="Arial" w:cs="Arial"/>
        </w:rPr>
        <w:t>Kenya faces significant vulnerabilit</w:t>
      </w:r>
      <w:r w:rsidR="00647A6A" w:rsidRPr="00EC1B14">
        <w:rPr>
          <w:rFonts w:ascii="Arial" w:hAnsi="Arial" w:cs="Arial"/>
        </w:rPr>
        <w:t>ies</w:t>
      </w:r>
      <w:r w:rsidRPr="00EC1B14">
        <w:rPr>
          <w:rFonts w:ascii="Arial" w:hAnsi="Arial" w:cs="Arial"/>
        </w:rPr>
        <w:t xml:space="preserve"> to extreme weather events such as floods and droughts, which directly affect crucial sectors like infrastructure, agriculture, and ecosystems – all vital components of the Kenyan economy.</w:t>
      </w:r>
      <w:r w:rsidR="00647A6A" w:rsidRPr="00EC1B14">
        <w:rPr>
          <w:rFonts w:ascii="Arial" w:hAnsi="Arial" w:cs="Arial"/>
        </w:rPr>
        <w:t xml:space="preserve"> </w:t>
      </w:r>
      <w:r w:rsidRPr="00EC1B14">
        <w:rPr>
          <w:rFonts w:ascii="Arial" w:hAnsi="Arial" w:cs="Arial"/>
        </w:rPr>
        <w:t>The country's heavy reliance on agriculture makes it particularly sensitive to climate-related disruptions. Any climate-induced disturbance in this sector can ripple through, impacting food security and the livelihoods of many.</w:t>
      </w:r>
    </w:p>
    <w:p w14:paraId="3580BF78" w14:textId="33331E7A" w:rsidR="004B6375" w:rsidRPr="00EC1B14" w:rsidRDefault="004B6375" w:rsidP="00D25F24">
      <w:pPr>
        <w:pStyle w:val="NoSpacing"/>
        <w:spacing w:before="100" w:beforeAutospacing="1" w:after="100" w:afterAutospacing="1"/>
        <w:jc w:val="both"/>
        <w:rPr>
          <w:rFonts w:ascii="Arial" w:hAnsi="Arial" w:cs="Arial"/>
        </w:rPr>
      </w:pPr>
      <w:r w:rsidRPr="00EC1B14">
        <w:rPr>
          <w:rFonts w:ascii="Arial" w:hAnsi="Arial" w:cs="Arial"/>
        </w:rPr>
        <w:t xml:space="preserve">Kenya's coastline, too, is at risk, especially with the looming threat of rising sea levels. This vulnerability is both environmental and economic, as these coastal regions host significant infrastructure. </w:t>
      </w:r>
      <w:r w:rsidR="00647A6A" w:rsidRPr="00EC1B14">
        <w:rPr>
          <w:rFonts w:ascii="Arial" w:hAnsi="Arial" w:cs="Arial"/>
        </w:rPr>
        <w:t>A</w:t>
      </w:r>
      <w:r w:rsidRPr="00EC1B14">
        <w:rPr>
          <w:rFonts w:ascii="Arial" w:hAnsi="Arial" w:cs="Arial"/>
        </w:rPr>
        <w:t>ddressing the potential impacts of climate change</w:t>
      </w:r>
      <w:r w:rsidR="00647A6A" w:rsidRPr="00EC1B14">
        <w:rPr>
          <w:rFonts w:ascii="Arial" w:hAnsi="Arial" w:cs="Arial"/>
        </w:rPr>
        <w:t xml:space="preserve"> in these areas is paramount to ensuring sustainable development</w:t>
      </w:r>
      <w:r w:rsidRPr="00EC1B14">
        <w:rPr>
          <w:rFonts w:ascii="Arial" w:hAnsi="Arial" w:cs="Arial"/>
        </w:rPr>
        <w:t>.</w:t>
      </w:r>
      <w:r w:rsidR="00647A6A" w:rsidRPr="00EC1B14">
        <w:rPr>
          <w:rFonts w:ascii="Arial" w:hAnsi="Arial" w:cs="Arial"/>
        </w:rPr>
        <w:t xml:space="preserve"> </w:t>
      </w:r>
      <w:r w:rsidRPr="00EC1B14">
        <w:rPr>
          <w:rFonts w:ascii="Arial" w:hAnsi="Arial" w:cs="Arial"/>
        </w:rPr>
        <w:t>The broader societal implications of climate change are also evident in the health and social sectors. Temperature-related health risks can overburden healthcare systems, while biodiversity loss might disrupt resource availability, both critical to Kenya's social well-being.</w:t>
      </w:r>
    </w:p>
    <w:p w14:paraId="18F0CD09" w14:textId="516D231F" w:rsidR="004B6375" w:rsidRPr="00EC1B14" w:rsidRDefault="004B6375" w:rsidP="00D25F24">
      <w:pPr>
        <w:pStyle w:val="NoSpacing"/>
        <w:spacing w:before="100" w:beforeAutospacing="1" w:after="100" w:afterAutospacing="1"/>
        <w:jc w:val="both"/>
        <w:rPr>
          <w:rFonts w:ascii="Arial" w:hAnsi="Arial" w:cs="Arial"/>
        </w:rPr>
      </w:pPr>
      <w:r w:rsidRPr="00EC1B14">
        <w:rPr>
          <w:rFonts w:ascii="Arial" w:hAnsi="Arial" w:cs="Arial"/>
        </w:rPr>
        <w:t>Recognising the role of transitional risks, such as rapid technological changes and regulatory shifts, is also essential. Kenya's financial institutions must stay alert to how these factors affect asset valuation and influence carbon-intensive industries.</w:t>
      </w:r>
      <w:r w:rsidR="00647A6A" w:rsidRPr="00EC1B14">
        <w:rPr>
          <w:rFonts w:ascii="Arial" w:hAnsi="Arial" w:cs="Arial"/>
        </w:rPr>
        <w:t xml:space="preserve"> </w:t>
      </w:r>
      <w:r w:rsidRPr="00EC1B14">
        <w:rPr>
          <w:rFonts w:ascii="Arial" w:hAnsi="Arial" w:cs="Arial"/>
        </w:rPr>
        <w:t>The Kenyan economy's global interconnectedness is highlighted through its susceptibility to supply chain disruptions and changing investor sentiments. Consumer preferences and investor priorities, shifting in response to global market dynamics, can substantially influence local industries and financial portfolios.</w:t>
      </w:r>
    </w:p>
    <w:p w14:paraId="68F67FE6" w14:textId="6A25A396" w:rsidR="00647A6A" w:rsidRPr="00EC1B14" w:rsidRDefault="00647A6A" w:rsidP="00D25F24">
      <w:pPr>
        <w:pStyle w:val="NoSpacing"/>
        <w:spacing w:before="100" w:beforeAutospacing="1" w:after="100" w:afterAutospacing="1"/>
        <w:jc w:val="both"/>
        <w:rPr>
          <w:rFonts w:ascii="Arial" w:hAnsi="Arial" w:cs="Arial"/>
        </w:rPr>
      </w:pPr>
      <w:r w:rsidRPr="00EC1B14">
        <w:rPr>
          <w:rFonts w:ascii="Arial" w:hAnsi="Arial" w:cs="Arial"/>
        </w:rPr>
        <w:t xml:space="preserve">These </w:t>
      </w:r>
      <w:r w:rsidR="004B6375" w:rsidRPr="00EC1B14">
        <w:rPr>
          <w:rFonts w:ascii="Arial" w:hAnsi="Arial" w:cs="Arial"/>
        </w:rPr>
        <w:t xml:space="preserve">risks underscore the need for </w:t>
      </w:r>
      <w:r w:rsidRPr="00EC1B14">
        <w:rPr>
          <w:rFonts w:ascii="Arial" w:hAnsi="Arial" w:cs="Arial"/>
        </w:rPr>
        <w:t xml:space="preserve">a robust </w:t>
      </w:r>
      <w:r w:rsidR="00BB3FFC" w:rsidRPr="00EC1B14">
        <w:rPr>
          <w:rFonts w:ascii="Arial" w:hAnsi="Arial" w:cs="Arial"/>
        </w:rPr>
        <w:t>C</w:t>
      </w:r>
      <w:r w:rsidRPr="00EC1B14">
        <w:rPr>
          <w:rFonts w:ascii="Arial" w:hAnsi="Arial" w:cs="Arial"/>
        </w:rPr>
        <w:t xml:space="preserve">limate </w:t>
      </w:r>
      <w:r w:rsidR="00BB3FFC" w:rsidRPr="00EC1B14">
        <w:rPr>
          <w:rFonts w:ascii="Arial" w:hAnsi="Arial" w:cs="Arial"/>
        </w:rPr>
        <w:t>R</w:t>
      </w:r>
      <w:r w:rsidRPr="00EC1B14">
        <w:rPr>
          <w:rFonts w:ascii="Arial" w:hAnsi="Arial" w:cs="Arial"/>
        </w:rPr>
        <w:t xml:space="preserve">isk </w:t>
      </w:r>
      <w:r w:rsidR="00BB3FFC" w:rsidRPr="00EC1B14">
        <w:rPr>
          <w:rFonts w:ascii="Arial" w:hAnsi="Arial" w:cs="Arial"/>
        </w:rPr>
        <w:t>D</w:t>
      </w:r>
      <w:r w:rsidRPr="00EC1B14">
        <w:rPr>
          <w:rFonts w:ascii="Arial" w:hAnsi="Arial" w:cs="Arial"/>
        </w:rPr>
        <w:t xml:space="preserve">iagnostic </w:t>
      </w:r>
      <w:r w:rsidR="00373420" w:rsidRPr="00EC1B14">
        <w:rPr>
          <w:rFonts w:ascii="Arial" w:hAnsi="Arial" w:cs="Arial"/>
        </w:rPr>
        <w:t xml:space="preserve">to </w:t>
      </w:r>
      <w:r w:rsidRPr="00EC1B14">
        <w:rPr>
          <w:rFonts w:ascii="Arial" w:hAnsi="Arial" w:cs="Arial"/>
        </w:rPr>
        <w:t xml:space="preserve">aid in </w:t>
      </w:r>
      <w:r w:rsidR="00373420" w:rsidRPr="00EC1B14">
        <w:rPr>
          <w:rFonts w:ascii="Arial" w:hAnsi="Arial" w:cs="Arial"/>
        </w:rPr>
        <w:t>identifying</w:t>
      </w:r>
      <w:r w:rsidRPr="00EC1B14">
        <w:rPr>
          <w:rFonts w:ascii="Arial" w:hAnsi="Arial" w:cs="Arial"/>
        </w:rPr>
        <w:t xml:space="preserve"> </w:t>
      </w:r>
      <w:r w:rsidR="002151E5" w:rsidRPr="00EC1B14">
        <w:rPr>
          <w:rFonts w:ascii="Arial" w:hAnsi="Arial" w:cs="Arial"/>
        </w:rPr>
        <w:t>climate physical and transition risks</w:t>
      </w:r>
      <w:r w:rsidR="00373420" w:rsidRPr="00EC1B14">
        <w:rPr>
          <w:rFonts w:ascii="Arial" w:hAnsi="Arial" w:cs="Arial"/>
        </w:rPr>
        <w:t xml:space="preserve"> and one </w:t>
      </w:r>
      <w:r w:rsidR="00C86BA1" w:rsidRPr="00EC1B14">
        <w:rPr>
          <w:rFonts w:ascii="Arial" w:hAnsi="Arial" w:cs="Arial"/>
        </w:rPr>
        <w:t>that</w:t>
      </w:r>
      <w:r w:rsidR="00BB3FFC" w:rsidRPr="00EC1B14">
        <w:rPr>
          <w:rFonts w:ascii="Arial" w:hAnsi="Arial" w:cs="Arial"/>
        </w:rPr>
        <w:t xml:space="preserve"> considers the unique vulnerabilities</w:t>
      </w:r>
      <w:r w:rsidR="00C86BA1" w:rsidRPr="00EC1B14">
        <w:rPr>
          <w:rFonts w:ascii="Arial" w:hAnsi="Arial" w:cs="Arial"/>
        </w:rPr>
        <w:t xml:space="preserve"> of Kenya and the critical sectors most affected by climate change</w:t>
      </w:r>
      <w:r w:rsidRPr="00EC1B14">
        <w:rPr>
          <w:rFonts w:ascii="Arial" w:hAnsi="Arial" w:cs="Arial"/>
        </w:rPr>
        <w:t>.</w:t>
      </w:r>
    </w:p>
    <w:p w14:paraId="3054238E" w14:textId="60C525E3" w:rsidR="004B6375" w:rsidRPr="00EC1B14" w:rsidRDefault="5ED366D9" w:rsidP="00D25F24">
      <w:pPr>
        <w:pStyle w:val="Heading2"/>
        <w:spacing w:before="100" w:beforeAutospacing="1" w:after="100" w:afterAutospacing="1" w:line="240" w:lineRule="auto"/>
        <w:rPr>
          <w:rFonts w:ascii="Arial" w:hAnsi="Arial" w:cs="Arial"/>
          <w:b/>
          <w:bCs/>
          <w:color w:val="auto"/>
          <w:sz w:val="24"/>
          <w:szCs w:val="24"/>
        </w:rPr>
      </w:pPr>
      <w:bookmarkStart w:id="5" w:name="_Toc157187590"/>
      <w:bookmarkStart w:id="6" w:name="_Toc171906993"/>
      <w:r w:rsidRPr="00EC1B14">
        <w:rPr>
          <w:rFonts w:ascii="Arial" w:hAnsi="Arial" w:cs="Arial"/>
          <w:b/>
          <w:bCs/>
          <w:color w:val="auto"/>
          <w:sz w:val="24"/>
          <w:szCs w:val="24"/>
        </w:rPr>
        <w:t>Objectives of the Climate Risk Diagnostic</w:t>
      </w:r>
      <w:bookmarkEnd w:id="5"/>
      <w:bookmarkEnd w:id="6"/>
    </w:p>
    <w:p w14:paraId="2AA7A084" w14:textId="2520168E" w:rsidR="004B6375" w:rsidRPr="00EC1B14" w:rsidRDefault="004B6375" w:rsidP="00D25F24">
      <w:pPr>
        <w:pStyle w:val="NoSpacing"/>
        <w:spacing w:before="100" w:beforeAutospacing="1" w:after="100" w:afterAutospacing="1"/>
        <w:jc w:val="both"/>
        <w:rPr>
          <w:rFonts w:ascii="Arial" w:hAnsi="Arial" w:cs="Arial"/>
        </w:rPr>
      </w:pPr>
      <w:r w:rsidRPr="00EC1B14">
        <w:rPr>
          <w:rFonts w:ascii="Arial" w:hAnsi="Arial" w:cs="Arial"/>
        </w:rPr>
        <w:t xml:space="preserve">There is a growing recognition of the need to move beyond traditional risk models to address climate threats. This shift highlights the banking sector's understanding of the connection between climate resilience and financial stability over various time frames. As climate challenges grow, a transparent and standardised framework for identifying climate risks becomes crucial. </w:t>
      </w:r>
    </w:p>
    <w:p w14:paraId="186C298E" w14:textId="21AD6097" w:rsidR="007608B5" w:rsidRPr="00EC1B14" w:rsidRDefault="004B6375" w:rsidP="00D25F24">
      <w:pPr>
        <w:pStyle w:val="NoSpacing"/>
        <w:spacing w:before="100" w:beforeAutospacing="1" w:after="100" w:afterAutospacing="1"/>
        <w:jc w:val="both"/>
        <w:rPr>
          <w:rFonts w:ascii="Arial" w:hAnsi="Arial" w:cs="Arial"/>
        </w:rPr>
      </w:pPr>
      <w:r w:rsidRPr="00EC1B14">
        <w:rPr>
          <w:rFonts w:ascii="Arial" w:hAnsi="Arial" w:cs="Arial"/>
        </w:rPr>
        <w:lastRenderedPageBreak/>
        <w:t xml:space="preserve">By establishing a foundational framework, this </w:t>
      </w:r>
      <w:r w:rsidR="00647A6A" w:rsidRPr="00EC1B14">
        <w:rPr>
          <w:rFonts w:ascii="Arial" w:hAnsi="Arial" w:cs="Arial"/>
        </w:rPr>
        <w:t>diagnostic tool</w:t>
      </w:r>
      <w:r w:rsidRPr="00EC1B14">
        <w:rPr>
          <w:rFonts w:ascii="Arial" w:hAnsi="Arial" w:cs="Arial"/>
        </w:rPr>
        <w:t xml:space="preserve"> initiates a collaborative effort to </w:t>
      </w:r>
      <w:r w:rsidR="00E73AD4" w:rsidRPr="00EC1B14">
        <w:rPr>
          <w:rFonts w:ascii="Arial" w:hAnsi="Arial" w:cs="Arial"/>
        </w:rPr>
        <w:t xml:space="preserve">better </w:t>
      </w:r>
      <w:r w:rsidRPr="00EC1B14">
        <w:rPr>
          <w:rFonts w:ascii="Arial" w:hAnsi="Arial" w:cs="Arial"/>
        </w:rPr>
        <w:t xml:space="preserve">tackle climate challenges proactively, enhance risk management, strengthen portfolios, and build a resilient financial sector. </w:t>
      </w:r>
      <w:r w:rsidR="00E73AD4" w:rsidRPr="00EC1B14">
        <w:rPr>
          <w:rFonts w:ascii="Arial" w:hAnsi="Arial" w:cs="Arial"/>
        </w:rPr>
        <w:t>The diagnostic is a first attempt to provide a customised perspective on how climate change is impacting the performance of the banking sector in alignment with the climate risk disclosure framework led by the Central Bank of Kenya. By raising awareness and improving the understanding of climate risks in the banking sector</w:t>
      </w:r>
      <w:r w:rsidR="00EA6654" w:rsidRPr="00EC1B14">
        <w:rPr>
          <w:rFonts w:ascii="Arial" w:hAnsi="Arial" w:cs="Arial"/>
        </w:rPr>
        <w:t>, Kenya will be better prepared to build a more resilient financial and economic ecosystem</w:t>
      </w:r>
      <w:r w:rsidR="00F36883" w:rsidRPr="00EC1B14">
        <w:rPr>
          <w:rFonts w:ascii="Arial" w:hAnsi="Arial" w:cs="Arial"/>
        </w:rPr>
        <w:t>.</w:t>
      </w:r>
      <w:r w:rsidRPr="00EC1B14">
        <w:rPr>
          <w:rFonts w:ascii="Arial" w:hAnsi="Arial" w:cs="Arial"/>
        </w:rPr>
        <w:t xml:space="preserve"> </w:t>
      </w:r>
    </w:p>
    <w:p w14:paraId="6F7A2716" w14:textId="33443E6D" w:rsidR="007608B5" w:rsidRPr="00EC1B14" w:rsidRDefault="004B6375" w:rsidP="00D25F24">
      <w:pPr>
        <w:pStyle w:val="NoSpacing"/>
        <w:spacing w:before="100" w:beforeAutospacing="1" w:after="100" w:afterAutospacing="1"/>
        <w:jc w:val="both"/>
        <w:rPr>
          <w:rFonts w:ascii="Arial" w:hAnsi="Arial" w:cs="Arial"/>
        </w:rPr>
      </w:pPr>
      <w:r w:rsidRPr="00EC1B14">
        <w:rPr>
          <w:rFonts w:ascii="Arial" w:hAnsi="Arial" w:cs="Arial"/>
        </w:rPr>
        <w:t>Th</w:t>
      </w:r>
      <w:r w:rsidR="00E73AD4" w:rsidRPr="00EC1B14">
        <w:rPr>
          <w:rFonts w:ascii="Arial" w:hAnsi="Arial" w:cs="Arial"/>
        </w:rPr>
        <w:t>is diagnostic</w:t>
      </w:r>
      <w:r w:rsidR="007608B5" w:rsidRPr="00EC1B14">
        <w:rPr>
          <w:rFonts w:ascii="Arial" w:hAnsi="Arial" w:cs="Arial"/>
        </w:rPr>
        <w:t xml:space="preserve"> </w:t>
      </w:r>
      <w:r w:rsidR="00EA6654" w:rsidRPr="00EC1B14">
        <w:rPr>
          <w:rFonts w:ascii="Arial" w:hAnsi="Arial" w:cs="Arial"/>
        </w:rPr>
        <w:t xml:space="preserve">is the first building block in a series of elements to enhance the Kenyan climate risk disclosure framework, the anticipated outcomes of which include a unified understanding of climate risks, enhanced resilience, and </w:t>
      </w:r>
      <w:r w:rsidR="00796BD2" w:rsidRPr="00EC1B14">
        <w:rPr>
          <w:rFonts w:ascii="Arial" w:hAnsi="Arial" w:cs="Arial"/>
        </w:rPr>
        <w:t>reporting.</w:t>
      </w:r>
      <w:r w:rsidR="007608B5" w:rsidRPr="00EC1B14">
        <w:rPr>
          <w:rFonts w:ascii="Arial" w:hAnsi="Arial" w:cs="Arial"/>
        </w:rPr>
        <w:t xml:space="preserve"> This diagnostic will help </w:t>
      </w:r>
      <w:r w:rsidR="00EA6654" w:rsidRPr="00EC1B14">
        <w:rPr>
          <w:rFonts w:ascii="Arial" w:hAnsi="Arial" w:cs="Arial"/>
        </w:rPr>
        <w:t xml:space="preserve">raise awareness in the banking sector and support </w:t>
      </w:r>
      <w:r w:rsidR="007608B5" w:rsidRPr="00EC1B14">
        <w:rPr>
          <w:rFonts w:ascii="Arial" w:hAnsi="Arial" w:cs="Arial"/>
        </w:rPr>
        <w:t xml:space="preserve">efforts to identify the most pressing climate risks in the country. This diagnostic will be accompanied by guidance on </w:t>
      </w:r>
      <w:r w:rsidR="00222EBD" w:rsidRPr="00EC1B14">
        <w:rPr>
          <w:rFonts w:ascii="Arial" w:hAnsi="Arial" w:cs="Arial"/>
        </w:rPr>
        <w:t>disclosing climate risks in the banking sector</w:t>
      </w:r>
      <w:r w:rsidR="005B0DCB" w:rsidRPr="00EC1B14">
        <w:rPr>
          <w:rFonts w:ascii="Arial" w:hAnsi="Arial" w:cs="Arial"/>
        </w:rPr>
        <w:t xml:space="preserve"> and</w:t>
      </w:r>
      <w:r w:rsidR="00222EBD" w:rsidRPr="00EC1B14">
        <w:rPr>
          <w:rFonts w:ascii="Arial" w:hAnsi="Arial" w:cs="Arial"/>
        </w:rPr>
        <w:t xml:space="preserve"> a dashboard for banking supervision. </w:t>
      </w:r>
      <w:r w:rsidR="005B0DCB" w:rsidRPr="00EC1B14">
        <w:rPr>
          <w:rFonts w:ascii="Arial" w:hAnsi="Arial" w:cs="Arial"/>
        </w:rPr>
        <w:t>This initial framework is expected to</w:t>
      </w:r>
      <w:r w:rsidR="00222EBD" w:rsidRPr="00EC1B14">
        <w:rPr>
          <w:rFonts w:ascii="Arial" w:hAnsi="Arial" w:cs="Arial"/>
        </w:rPr>
        <w:t xml:space="preserve"> be expanded over time, with additional tools to better identify and manage climate risks, paired with guidance and simplified approaches to improve reporting, particularly under the IFRS S2 standards. </w:t>
      </w:r>
    </w:p>
    <w:p w14:paraId="7D97A23D" w14:textId="2DE41D2C" w:rsidR="00CF3266" w:rsidRPr="00EC1B14" w:rsidRDefault="007608B5" w:rsidP="00D25F24">
      <w:pPr>
        <w:pStyle w:val="NoSpacing"/>
        <w:spacing w:before="100" w:beforeAutospacing="1" w:after="100" w:afterAutospacing="1"/>
        <w:jc w:val="both"/>
        <w:rPr>
          <w:rFonts w:ascii="Arial" w:hAnsi="Arial" w:cs="Arial"/>
        </w:rPr>
      </w:pPr>
      <w:r w:rsidRPr="00EC1B14">
        <w:rPr>
          <w:rFonts w:ascii="Arial" w:hAnsi="Arial" w:cs="Arial"/>
        </w:rPr>
        <w:t xml:space="preserve">With this, the Central Bank of Kenya is fostering the </w:t>
      </w:r>
      <w:r w:rsidR="004B6375" w:rsidRPr="00EC1B14">
        <w:rPr>
          <w:rFonts w:ascii="Arial" w:hAnsi="Arial" w:cs="Arial"/>
        </w:rPr>
        <w:t xml:space="preserve">adoption of </w:t>
      </w:r>
      <w:r w:rsidR="00796BD2" w:rsidRPr="00EC1B14">
        <w:rPr>
          <w:rFonts w:ascii="Arial" w:hAnsi="Arial" w:cs="Arial"/>
        </w:rPr>
        <w:t xml:space="preserve">more </w:t>
      </w:r>
      <w:r w:rsidR="004B6375" w:rsidRPr="00EC1B14">
        <w:rPr>
          <w:rFonts w:ascii="Arial" w:hAnsi="Arial" w:cs="Arial"/>
        </w:rPr>
        <w:t>sustainable banking practices.</w:t>
      </w:r>
      <w:r w:rsidR="00CF3266" w:rsidRPr="00EC1B14">
        <w:rPr>
          <w:rFonts w:ascii="Arial" w:hAnsi="Arial" w:cs="Arial"/>
        </w:rPr>
        <w:t xml:space="preserve"> The diagnostic is structured under two main components aimed at identifying the most pressing climate hazards in Kenya, summarised a</w:t>
      </w:r>
      <w:r w:rsidR="005B0DCB" w:rsidRPr="00EC1B14">
        <w:rPr>
          <w:rFonts w:ascii="Arial" w:hAnsi="Arial" w:cs="Arial"/>
        </w:rPr>
        <w:t>s</w:t>
      </w:r>
      <w:r w:rsidR="00CF3266" w:rsidRPr="00EC1B14">
        <w:rPr>
          <w:rFonts w:ascii="Arial" w:hAnsi="Arial" w:cs="Arial"/>
        </w:rPr>
        <w:t xml:space="preserve"> physical and transition risks. </w:t>
      </w:r>
    </w:p>
    <w:p w14:paraId="1AA54D0B" w14:textId="5FE69B73" w:rsidR="00E64C45" w:rsidRPr="00EC1B14" w:rsidRDefault="00E64C45" w:rsidP="00D25F24">
      <w:pPr>
        <w:pStyle w:val="Heading1"/>
        <w:numPr>
          <w:ilvl w:val="0"/>
          <w:numId w:val="9"/>
        </w:numPr>
        <w:spacing w:before="100" w:beforeAutospacing="1" w:after="100" w:afterAutospacing="1" w:line="240" w:lineRule="auto"/>
        <w:rPr>
          <w:rFonts w:ascii="Arial" w:hAnsi="Arial" w:cs="Arial"/>
          <w:b/>
          <w:bCs/>
          <w:color w:val="auto"/>
          <w:sz w:val="26"/>
          <w:szCs w:val="26"/>
        </w:rPr>
      </w:pPr>
      <w:bookmarkStart w:id="7" w:name="_Toc159248346"/>
      <w:bookmarkStart w:id="8" w:name="_Toc171906994"/>
      <w:r w:rsidRPr="00EC1B14">
        <w:rPr>
          <w:rFonts w:ascii="Arial" w:hAnsi="Arial" w:cs="Arial"/>
          <w:b/>
          <w:bCs/>
          <w:color w:val="auto"/>
          <w:sz w:val="26"/>
          <w:szCs w:val="26"/>
        </w:rPr>
        <w:t>Physical Climate Risks</w:t>
      </w:r>
      <w:bookmarkEnd w:id="7"/>
      <w:bookmarkEnd w:id="8"/>
    </w:p>
    <w:p w14:paraId="52895518" w14:textId="673D4085" w:rsidR="00E64C45" w:rsidRPr="00EC1B14" w:rsidRDefault="00E64C45" w:rsidP="00D25F24">
      <w:pPr>
        <w:spacing w:before="100" w:beforeAutospacing="1" w:after="100" w:afterAutospacing="1" w:line="240" w:lineRule="auto"/>
        <w:jc w:val="both"/>
        <w:rPr>
          <w:rFonts w:ascii="Arial" w:hAnsi="Arial" w:cs="Arial"/>
        </w:rPr>
      </w:pPr>
      <w:r w:rsidRPr="00EC1B14">
        <w:rPr>
          <w:rFonts w:ascii="Arial" w:hAnsi="Arial" w:cs="Arial"/>
        </w:rPr>
        <w:t xml:space="preserve">Physical climate risks are risks posed to businesses from specific weather events and long-term shifts in climate patterns resulting from the impacts of a warming climate system and changes in environmental systems and resources. </w:t>
      </w:r>
      <w:r w:rsidR="00C86BA1" w:rsidRPr="00EC1B14">
        <w:rPr>
          <w:rFonts w:ascii="Arial" w:hAnsi="Arial" w:cs="Arial"/>
        </w:rPr>
        <w:t>P</w:t>
      </w:r>
      <w:r w:rsidRPr="00EC1B14">
        <w:rPr>
          <w:rFonts w:ascii="Arial" w:hAnsi="Arial" w:cs="Arial"/>
        </w:rPr>
        <w:t xml:space="preserve">hysical climate risks have direct financial implications to </w:t>
      </w:r>
      <w:r w:rsidR="00462ED9" w:rsidRPr="00EC1B14">
        <w:rPr>
          <w:rFonts w:ascii="Arial" w:hAnsi="Arial" w:cs="Arial"/>
        </w:rPr>
        <w:t>organisations, such as damage to physical assets, and indirect implications,</w:t>
      </w:r>
      <w:r w:rsidRPr="00EC1B14">
        <w:rPr>
          <w:rFonts w:ascii="Arial" w:hAnsi="Arial" w:cs="Arial"/>
        </w:rPr>
        <w:t xml:space="preserve"> such as declining natural resources and loss of biodiversity. </w:t>
      </w:r>
      <w:r w:rsidR="00C86BA1" w:rsidRPr="00EC1B14">
        <w:rPr>
          <w:rFonts w:ascii="Arial" w:hAnsi="Arial" w:cs="Arial"/>
        </w:rPr>
        <w:t>P</w:t>
      </w:r>
      <w:r w:rsidRPr="00EC1B14">
        <w:rPr>
          <w:rFonts w:ascii="Arial" w:hAnsi="Arial" w:cs="Arial"/>
        </w:rPr>
        <w:t xml:space="preserve">hysical climate risks are categorised as </w:t>
      </w:r>
      <w:r w:rsidR="00C86BA1" w:rsidRPr="00EC1B14">
        <w:rPr>
          <w:rFonts w:ascii="Arial" w:hAnsi="Arial" w:cs="Arial"/>
        </w:rPr>
        <w:t>a</w:t>
      </w:r>
      <w:r w:rsidR="00462ED9" w:rsidRPr="00EC1B14">
        <w:rPr>
          <w:rFonts w:ascii="Arial" w:hAnsi="Arial" w:cs="Arial"/>
        </w:rPr>
        <w:t xml:space="preserve">cute </w:t>
      </w:r>
      <w:r w:rsidR="00373420" w:rsidRPr="00EC1B14">
        <w:rPr>
          <w:rFonts w:ascii="Arial" w:hAnsi="Arial" w:cs="Arial"/>
        </w:rPr>
        <w:t xml:space="preserve">(event-driven) or chronic </w:t>
      </w:r>
      <w:r w:rsidRPr="00EC1B14">
        <w:rPr>
          <w:rFonts w:ascii="Arial" w:hAnsi="Arial" w:cs="Arial"/>
        </w:rPr>
        <w:t>(long-term climate shifts).</w:t>
      </w:r>
    </w:p>
    <w:p w14:paraId="3DED714E" w14:textId="3E86F32B" w:rsidR="00A73DBC" w:rsidRPr="00EC1B14" w:rsidRDefault="0034783D" w:rsidP="00D25F24">
      <w:pPr>
        <w:spacing w:before="100" w:beforeAutospacing="1" w:after="100" w:afterAutospacing="1" w:line="240" w:lineRule="auto"/>
        <w:rPr>
          <w:rFonts w:ascii="Arial" w:hAnsi="Arial" w:cs="Arial"/>
          <w:b/>
          <w:bCs/>
        </w:rPr>
      </w:pPr>
      <w:r w:rsidRPr="00EC1B14">
        <w:rPr>
          <w:rFonts w:ascii="Arial" w:hAnsi="Arial" w:cs="Arial"/>
          <w:b/>
          <w:bCs/>
        </w:rPr>
        <w:t>Acute Physical Climate</w:t>
      </w:r>
      <w:r w:rsidR="00976B6A" w:rsidRPr="00EC1B14">
        <w:rPr>
          <w:rFonts w:ascii="Arial" w:hAnsi="Arial" w:cs="Arial"/>
          <w:b/>
          <w:bCs/>
        </w:rPr>
        <w:t xml:space="preserve"> Risks</w:t>
      </w:r>
    </w:p>
    <w:p w14:paraId="5474570F" w14:textId="12C01F89" w:rsidR="00E64C45" w:rsidRPr="00EC1B14" w:rsidRDefault="00E64C45" w:rsidP="00D25F24">
      <w:pPr>
        <w:spacing w:before="100" w:beforeAutospacing="1" w:after="100" w:afterAutospacing="1" w:line="240" w:lineRule="auto"/>
        <w:rPr>
          <w:rFonts w:ascii="Arial" w:hAnsi="Arial" w:cs="Arial"/>
        </w:rPr>
      </w:pPr>
      <w:r w:rsidRPr="00EC1B14">
        <w:rPr>
          <w:rFonts w:ascii="Arial" w:hAnsi="Arial" w:cs="Arial"/>
        </w:rPr>
        <w:t xml:space="preserve">Acute </w:t>
      </w:r>
      <w:r w:rsidR="002151E5" w:rsidRPr="00EC1B14">
        <w:rPr>
          <w:rFonts w:ascii="Arial" w:hAnsi="Arial" w:cs="Arial"/>
        </w:rPr>
        <w:t>climate physical risks</w:t>
      </w:r>
      <w:r w:rsidRPr="00EC1B14">
        <w:rPr>
          <w:rFonts w:ascii="Arial" w:hAnsi="Arial" w:cs="Arial"/>
        </w:rPr>
        <w:t xml:space="preserve"> are driven by specific weather events or hazards such as floods, wildfires, and storms. They are characterised by uncertainty in scope, timing and severity and </w:t>
      </w:r>
      <w:r w:rsidR="00462ED9" w:rsidRPr="00EC1B14">
        <w:rPr>
          <w:rFonts w:ascii="Arial" w:hAnsi="Arial" w:cs="Arial"/>
        </w:rPr>
        <w:t>their impact's changing magnitude and nonlinearity</w:t>
      </w:r>
      <w:r w:rsidRPr="00EC1B14">
        <w:rPr>
          <w:rFonts w:ascii="Arial" w:hAnsi="Arial" w:cs="Arial"/>
        </w:rPr>
        <w:t>. Acute risks can be direct or indirect</w:t>
      </w:r>
      <w:r w:rsidR="008A57CE" w:rsidRPr="00EC1B14">
        <w:rPr>
          <w:rFonts w:ascii="Arial" w:hAnsi="Arial" w:cs="Arial"/>
        </w:rPr>
        <w:t>.</w:t>
      </w:r>
    </w:p>
    <w:p w14:paraId="4C4A309F" w14:textId="3B21FE9F" w:rsidR="00E64C45" w:rsidRPr="00EC1B14" w:rsidRDefault="00E64C45" w:rsidP="00D25F24">
      <w:pPr>
        <w:pStyle w:val="ListParagraph"/>
        <w:numPr>
          <w:ilvl w:val="0"/>
          <w:numId w:val="7"/>
        </w:numPr>
        <w:spacing w:before="100" w:beforeAutospacing="1" w:after="100" w:afterAutospacing="1" w:line="240" w:lineRule="auto"/>
        <w:jc w:val="both"/>
        <w:rPr>
          <w:rFonts w:ascii="Arial" w:hAnsi="Arial" w:cs="Arial"/>
        </w:rPr>
      </w:pPr>
      <w:r w:rsidRPr="00EC1B14">
        <w:rPr>
          <w:rFonts w:ascii="Arial" w:hAnsi="Arial" w:cs="Arial"/>
          <w:b/>
          <w:bCs/>
        </w:rPr>
        <w:t>Direct Acute Physical Risks</w:t>
      </w:r>
      <w:r w:rsidR="003E35A7" w:rsidRPr="00EC1B14">
        <w:rPr>
          <w:rFonts w:ascii="Arial" w:hAnsi="Arial" w:cs="Arial"/>
          <w:b/>
          <w:bCs/>
        </w:rPr>
        <w:t>.</w:t>
      </w:r>
      <w:r w:rsidR="003E35A7" w:rsidRPr="00EC1B14">
        <w:rPr>
          <w:rFonts w:ascii="Arial" w:hAnsi="Arial" w:cs="Arial"/>
        </w:rPr>
        <w:t xml:space="preserve"> </w:t>
      </w:r>
      <w:r w:rsidR="00C86BA1" w:rsidRPr="00EC1B14">
        <w:rPr>
          <w:rFonts w:ascii="Arial" w:hAnsi="Arial" w:cs="Arial"/>
        </w:rPr>
        <w:t>Di</w:t>
      </w:r>
      <w:r w:rsidRPr="00EC1B14">
        <w:rPr>
          <w:rFonts w:ascii="Arial" w:hAnsi="Arial" w:cs="Arial"/>
        </w:rPr>
        <w:t>rect acute risks are associated with property damage and loss of life due to increased severity and frequency of climate hazards</w:t>
      </w:r>
      <w:r w:rsidR="00C86BA1" w:rsidRPr="00EC1B14">
        <w:rPr>
          <w:rFonts w:ascii="Arial" w:hAnsi="Arial" w:cs="Arial"/>
        </w:rPr>
        <w:t xml:space="preserve"> - </w:t>
      </w:r>
      <w:r w:rsidR="00462ED9" w:rsidRPr="00EC1B14">
        <w:rPr>
          <w:rFonts w:ascii="Arial" w:hAnsi="Arial" w:cs="Arial"/>
        </w:rPr>
        <w:t>for</w:t>
      </w:r>
      <w:r w:rsidRPr="00EC1B14">
        <w:rPr>
          <w:rFonts w:ascii="Arial" w:hAnsi="Arial" w:cs="Arial"/>
        </w:rPr>
        <w:t xml:space="preserve"> example, </w:t>
      </w:r>
      <w:r w:rsidR="00C459A6" w:rsidRPr="00EC1B14">
        <w:rPr>
          <w:rFonts w:ascii="Arial" w:hAnsi="Arial" w:cs="Arial"/>
        </w:rPr>
        <w:t xml:space="preserve">an </w:t>
      </w:r>
      <w:r w:rsidRPr="00EC1B14">
        <w:rPr>
          <w:rFonts w:ascii="Arial" w:hAnsi="Arial" w:cs="Arial"/>
        </w:rPr>
        <w:t>increase in reported deaths attributed to unusual heatwaves, prolonged drought or severe flooding.</w:t>
      </w:r>
    </w:p>
    <w:p w14:paraId="63983CD7" w14:textId="135F4F9C" w:rsidR="00E64C45" w:rsidRPr="00EC1B14" w:rsidRDefault="00E64C45" w:rsidP="00D25F24">
      <w:pPr>
        <w:pStyle w:val="ListParagraph"/>
        <w:numPr>
          <w:ilvl w:val="0"/>
          <w:numId w:val="7"/>
        </w:numPr>
        <w:spacing w:before="100" w:beforeAutospacing="1" w:after="100" w:afterAutospacing="1" w:line="240" w:lineRule="auto"/>
        <w:jc w:val="both"/>
        <w:rPr>
          <w:rFonts w:ascii="Arial" w:hAnsi="Arial" w:cs="Arial"/>
        </w:rPr>
      </w:pPr>
      <w:r w:rsidRPr="00EC1B14">
        <w:rPr>
          <w:rFonts w:ascii="Arial" w:hAnsi="Arial" w:cs="Arial"/>
          <w:b/>
          <w:bCs/>
        </w:rPr>
        <w:t>Indirect Acute Physical Risks</w:t>
      </w:r>
      <w:r w:rsidR="003E35A7" w:rsidRPr="00EC1B14">
        <w:rPr>
          <w:rFonts w:ascii="Arial" w:hAnsi="Arial" w:cs="Arial"/>
        </w:rPr>
        <w:t xml:space="preserve">. </w:t>
      </w:r>
      <w:r w:rsidR="00C86BA1" w:rsidRPr="00EC1B14">
        <w:rPr>
          <w:rFonts w:ascii="Arial" w:hAnsi="Arial" w:cs="Arial"/>
        </w:rPr>
        <w:t>I</w:t>
      </w:r>
      <w:r w:rsidRPr="00EC1B14">
        <w:rPr>
          <w:rFonts w:ascii="Arial" w:hAnsi="Arial" w:cs="Arial"/>
        </w:rPr>
        <w:t>ndirect acute risks are associated with property devaluation and supply chain disruptions attributed to weather events</w:t>
      </w:r>
      <w:r w:rsidR="00C86BA1" w:rsidRPr="00EC1B14">
        <w:rPr>
          <w:rFonts w:ascii="Arial" w:hAnsi="Arial" w:cs="Arial"/>
        </w:rPr>
        <w:t>. Examples include</w:t>
      </w:r>
      <w:r w:rsidR="00462ED9" w:rsidRPr="00EC1B14">
        <w:rPr>
          <w:rFonts w:ascii="Arial" w:hAnsi="Arial" w:cs="Arial"/>
        </w:rPr>
        <w:t xml:space="preserve"> </w:t>
      </w:r>
      <w:r w:rsidR="00C459A6" w:rsidRPr="00EC1B14">
        <w:rPr>
          <w:rFonts w:ascii="Arial" w:hAnsi="Arial" w:cs="Arial"/>
        </w:rPr>
        <w:t>decreased</w:t>
      </w:r>
      <w:r w:rsidRPr="00EC1B14">
        <w:rPr>
          <w:rFonts w:ascii="Arial" w:hAnsi="Arial" w:cs="Arial"/>
        </w:rPr>
        <w:t xml:space="preserve"> property value in areas with increased flooding risks</w:t>
      </w:r>
      <w:r w:rsidR="00F36883" w:rsidRPr="00EC1B14">
        <w:rPr>
          <w:rFonts w:ascii="Arial" w:hAnsi="Arial" w:cs="Arial"/>
        </w:rPr>
        <w:t xml:space="preserve"> and delays in meeting customer orders due to a decreased supply of inputs due to drought.</w:t>
      </w:r>
    </w:p>
    <w:p w14:paraId="0A89A94F" w14:textId="194DD88C" w:rsidR="00E64C45" w:rsidRPr="00EC1B14" w:rsidRDefault="00E64C45" w:rsidP="00D25F24">
      <w:pPr>
        <w:spacing w:before="100" w:beforeAutospacing="1" w:after="100" w:afterAutospacing="1" w:line="240" w:lineRule="auto"/>
        <w:rPr>
          <w:rFonts w:ascii="Arial" w:hAnsi="Arial" w:cs="Arial"/>
          <w:b/>
          <w:bCs/>
        </w:rPr>
      </w:pPr>
      <w:r w:rsidRPr="00EC1B14">
        <w:rPr>
          <w:rFonts w:ascii="Arial" w:hAnsi="Arial" w:cs="Arial"/>
          <w:b/>
          <w:bCs/>
        </w:rPr>
        <w:t>Chronic Physical Climate Risks</w:t>
      </w:r>
    </w:p>
    <w:p w14:paraId="5E30E4D5" w14:textId="246A83D0" w:rsidR="00E64C45" w:rsidRPr="00EC1B14" w:rsidRDefault="00E64C45" w:rsidP="00D25F24">
      <w:pPr>
        <w:spacing w:before="100" w:beforeAutospacing="1" w:after="100" w:afterAutospacing="1" w:line="240" w:lineRule="auto"/>
        <w:jc w:val="both"/>
        <w:rPr>
          <w:rFonts w:ascii="Arial" w:hAnsi="Arial" w:cs="Arial"/>
        </w:rPr>
      </w:pPr>
      <w:r w:rsidRPr="00EC1B14">
        <w:rPr>
          <w:rFonts w:ascii="Arial" w:hAnsi="Arial" w:cs="Arial"/>
        </w:rPr>
        <w:t xml:space="preserve">Chronic </w:t>
      </w:r>
      <w:r w:rsidR="002151E5" w:rsidRPr="00EC1B14">
        <w:rPr>
          <w:rFonts w:ascii="Arial" w:hAnsi="Arial" w:cs="Arial"/>
        </w:rPr>
        <w:t>climate physical risks</w:t>
      </w:r>
      <w:r w:rsidRPr="00EC1B14">
        <w:rPr>
          <w:rFonts w:ascii="Arial" w:hAnsi="Arial" w:cs="Arial"/>
        </w:rPr>
        <w:t xml:space="preserve"> are related to </w:t>
      </w:r>
      <w:r w:rsidR="00C459A6" w:rsidRPr="00EC1B14">
        <w:rPr>
          <w:rFonts w:ascii="Arial" w:hAnsi="Arial" w:cs="Arial"/>
        </w:rPr>
        <w:t>long-term alterations in climate patterns</w:t>
      </w:r>
      <w:r w:rsidR="008A4584" w:rsidRPr="00EC1B14">
        <w:rPr>
          <w:rFonts w:ascii="Arial" w:hAnsi="Arial" w:cs="Arial"/>
        </w:rPr>
        <w:t xml:space="preserve">, resulting in changes of extreme weather frequencies, such as droughts, heatwaves and heavy rainfall. </w:t>
      </w:r>
      <w:r w:rsidRPr="00EC1B14">
        <w:rPr>
          <w:rFonts w:ascii="Arial" w:hAnsi="Arial" w:cs="Arial"/>
        </w:rPr>
        <w:t>They are characterised by their longer time horizons and changing magnitude and nonlinearity associated with tipping points and thresholds. Chronic risks can be direct or indirect</w:t>
      </w:r>
      <w:r w:rsidR="008A57CE" w:rsidRPr="00EC1B14">
        <w:rPr>
          <w:rFonts w:ascii="Arial" w:hAnsi="Arial" w:cs="Arial"/>
        </w:rPr>
        <w:t>.</w:t>
      </w:r>
    </w:p>
    <w:p w14:paraId="4C727B4B" w14:textId="054A3518" w:rsidR="00E64C45" w:rsidRPr="00EC1B14" w:rsidRDefault="00E64C45" w:rsidP="00D25F24">
      <w:pPr>
        <w:pStyle w:val="ListParagraph"/>
        <w:numPr>
          <w:ilvl w:val="0"/>
          <w:numId w:val="7"/>
        </w:numPr>
        <w:spacing w:before="100" w:beforeAutospacing="1" w:after="100" w:afterAutospacing="1" w:line="240" w:lineRule="auto"/>
        <w:jc w:val="both"/>
        <w:rPr>
          <w:rFonts w:ascii="Arial" w:hAnsi="Arial" w:cs="Arial"/>
        </w:rPr>
      </w:pPr>
      <w:r w:rsidRPr="00EC1B14">
        <w:rPr>
          <w:rFonts w:ascii="Arial" w:hAnsi="Arial" w:cs="Arial"/>
          <w:b/>
          <w:bCs/>
        </w:rPr>
        <w:t>Direct Chronic Physical Risks</w:t>
      </w:r>
      <w:r w:rsidR="003E35A7" w:rsidRPr="00EC1B14">
        <w:rPr>
          <w:rFonts w:ascii="Arial" w:hAnsi="Arial" w:cs="Arial"/>
          <w:b/>
          <w:bCs/>
        </w:rPr>
        <w:t xml:space="preserve">. </w:t>
      </w:r>
      <w:r w:rsidR="008A57CE" w:rsidRPr="00EC1B14">
        <w:rPr>
          <w:rFonts w:ascii="Arial" w:hAnsi="Arial" w:cs="Arial"/>
        </w:rPr>
        <w:t>D</w:t>
      </w:r>
      <w:r w:rsidRPr="00EC1B14">
        <w:rPr>
          <w:rFonts w:ascii="Arial" w:hAnsi="Arial" w:cs="Arial"/>
        </w:rPr>
        <w:t>irect chronic risks are associated with increased uninhabitable regions and resource depletion due to shifting climate patterns such as increased mean temperatures an</w:t>
      </w:r>
      <w:r w:rsidR="008A4584" w:rsidRPr="00EC1B14">
        <w:rPr>
          <w:rFonts w:ascii="Arial" w:hAnsi="Arial" w:cs="Arial"/>
        </w:rPr>
        <w:t>d chronic droughts</w:t>
      </w:r>
      <w:r w:rsidRPr="00EC1B14">
        <w:rPr>
          <w:rFonts w:ascii="Arial" w:hAnsi="Arial" w:cs="Arial"/>
        </w:rPr>
        <w:t>.</w:t>
      </w:r>
    </w:p>
    <w:p w14:paraId="58114450" w14:textId="5325FEDB" w:rsidR="00A56AA9" w:rsidRPr="00EC1B14" w:rsidRDefault="00E64C45" w:rsidP="00D25F24">
      <w:pPr>
        <w:pStyle w:val="ListParagraph"/>
        <w:numPr>
          <w:ilvl w:val="0"/>
          <w:numId w:val="7"/>
        </w:numPr>
        <w:spacing w:before="100" w:beforeAutospacing="1" w:after="100" w:afterAutospacing="1" w:line="240" w:lineRule="auto"/>
        <w:jc w:val="both"/>
        <w:rPr>
          <w:rFonts w:ascii="Arial" w:hAnsi="Arial" w:cs="Arial"/>
          <w:b/>
          <w:bCs/>
        </w:rPr>
      </w:pPr>
      <w:r w:rsidRPr="00EC1B14">
        <w:rPr>
          <w:rFonts w:ascii="Arial" w:hAnsi="Arial" w:cs="Arial"/>
          <w:b/>
          <w:bCs/>
        </w:rPr>
        <w:t>Indirect Chronic Physical Risks</w:t>
      </w:r>
      <w:r w:rsidR="003E35A7" w:rsidRPr="00EC1B14">
        <w:rPr>
          <w:rFonts w:ascii="Arial" w:hAnsi="Arial" w:cs="Arial"/>
          <w:b/>
          <w:bCs/>
        </w:rPr>
        <w:t xml:space="preserve">. </w:t>
      </w:r>
      <w:r w:rsidRPr="00EC1B14">
        <w:rPr>
          <w:rFonts w:ascii="Arial" w:hAnsi="Arial" w:cs="Arial"/>
        </w:rPr>
        <w:t>The indirect chronic risks are related to increased financial costs attributed to changed climate patterns</w:t>
      </w:r>
      <w:r w:rsidR="00462ED9" w:rsidRPr="00EC1B14">
        <w:rPr>
          <w:rFonts w:ascii="Arial" w:hAnsi="Arial" w:cs="Arial"/>
        </w:rPr>
        <w:t>, such as revenue and expenditure impacts,</w:t>
      </w:r>
      <w:r w:rsidRPr="00EC1B14">
        <w:rPr>
          <w:rFonts w:ascii="Arial" w:hAnsi="Arial" w:cs="Arial"/>
        </w:rPr>
        <w:t xml:space="preserve"> high operating and capital costs,</w:t>
      </w:r>
      <w:r w:rsidR="00C5340D" w:rsidRPr="00EC1B14">
        <w:rPr>
          <w:rFonts w:ascii="Arial" w:hAnsi="Arial" w:cs="Arial"/>
        </w:rPr>
        <w:t xml:space="preserve"> and</w:t>
      </w:r>
      <w:r w:rsidRPr="00EC1B14">
        <w:rPr>
          <w:rFonts w:ascii="Arial" w:hAnsi="Arial" w:cs="Arial"/>
        </w:rPr>
        <w:t xml:space="preserve"> increased insurance cost</w:t>
      </w:r>
      <w:r w:rsidR="00C5340D" w:rsidRPr="00EC1B14">
        <w:rPr>
          <w:rFonts w:ascii="Arial" w:hAnsi="Arial" w:cs="Arial"/>
        </w:rPr>
        <w:t>s</w:t>
      </w:r>
      <w:r w:rsidRPr="00EC1B14">
        <w:rPr>
          <w:rFonts w:ascii="Arial" w:hAnsi="Arial" w:cs="Arial"/>
        </w:rPr>
        <w:t xml:space="preserve">. For example, </w:t>
      </w:r>
      <w:r w:rsidR="008A57CE" w:rsidRPr="00EC1B14">
        <w:rPr>
          <w:rFonts w:ascii="Arial" w:hAnsi="Arial" w:cs="Arial"/>
        </w:rPr>
        <w:t xml:space="preserve">heating, ventilation and </w:t>
      </w:r>
      <w:r w:rsidR="00373420" w:rsidRPr="00EC1B14">
        <w:rPr>
          <w:rFonts w:ascii="Arial" w:hAnsi="Arial" w:cs="Arial"/>
        </w:rPr>
        <w:t>air-conditioning (HVAC) costs to cool buildings due to increased temperatures and expenses</w:t>
      </w:r>
      <w:r w:rsidR="00C5340D" w:rsidRPr="00EC1B14">
        <w:rPr>
          <w:rFonts w:ascii="Arial" w:hAnsi="Arial" w:cs="Arial"/>
        </w:rPr>
        <w:t xml:space="preserve"> associated with </w:t>
      </w:r>
      <w:r w:rsidR="00C459A6" w:rsidRPr="00EC1B14">
        <w:rPr>
          <w:rFonts w:ascii="Arial" w:hAnsi="Arial" w:cs="Arial"/>
        </w:rPr>
        <w:t>infrastructure</w:t>
      </w:r>
      <w:r w:rsidR="00C5340D" w:rsidRPr="00EC1B14">
        <w:rPr>
          <w:rFonts w:ascii="Arial" w:hAnsi="Arial" w:cs="Arial"/>
        </w:rPr>
        <w:t xml:space="preserve"> for </w:t>
      </w:r>
      <w:r w:rsidRPr="00EC1B14">
        <w:rPr>
          <w:rFonts w:ascii="Arial" w:hAnsi="Arial" w:cs="Arial"/>
        </w:rPr>
        <w:t>higher sea levels</w:t>
      </w:r>
      <w:r w:rsidR="00C5340D" w:rsidRPr="00EC1B14">
        <w:rPr>
          <w:rFonts w:ascii="Arial" w:hAnsi="Arial" w:cs="Arial"/>
        </w:rPr>
        <w:t xml:space="preserve"> defences</w:t>
      </w:r>
      <w:r w:rsidRPr="00EC1B14">
        <w:rPr>
          <w:rFonts w:ascii="Arial" w:hAnsi="Arial" w:cs="Arial"/>
        </w:rPr>
        <w:t>.</w:t>
      </w:r>
    </w:p>
    <w:p w14:paraId="13D6F6FF" w14:textId="2E471568" w:rsidR="000067A1" w:rsidRPr="00EC1B14" w:rsidRDefault="008A4584" w:rsidP="00C65D7F">
      <w:pPr>
        <w:spacing w:before="100" w:beforeAutospacing="1" w:after="100" w:afterAutospacing="1" w:line="240" w:lineRule="auto"/>
        <w:jc w:val="both"/>
        <w:rPr>
          <w:rFonts w:ascii="Arial" w:hAnsi="Arial" w:cs="Arial"/>
        </w:rPr>
      </w:pPr>
      <w:r w:rsidRPr="00EC1B14">
        <w:rPr>
          <w:rFonts w:ascii="Arial" w:hAnsi="Arial" w:cs="Arial"/>
        </w:rPr>
        <w:t xml:space="preserve">The figures below shed light on critical climate-related risks facing Kenya. Temperature risk, illustrated in </w:t>
      </w:r>
      <w:r w:rsidR="000067A1" w:rsidRPr="00EC1B14">
        <w:rPr>
          <w:rFonts w:ascii="Arial" w:hAnsi="Arial" w:cs="Arial"/>
        </w:rPr>
        <w:t>Figure 1</w:t>
      </w:r>
      <w:r w:rsidRPr="00EC1B14">
        <w:rPr>
          <w:rFonts w:ascii="Arial" w:hAnsi="Arial" w:cs="Arial"/>
        </w:rPr>
        <w:t xml:space="preserve">, demonstrates a significant upward trend, with instances of temperatures exceeding 35 degrees Celsius becoming increasingly prevalent, notably in the worst-case scenario projections for 2050. </w:t>
      </w:r>
      <w:r w:rsidR="00A73414" w:rsidRPr="00EC1B14">
        <w:rPr>
          <w:rFonts w:ascii="Arial" w:hAnsi="Arial" w:cs="Arial"/>
        </w:rPr>
        <w:t xml:space="preserve">Figure </w:t>
      </w:r>
      <w:r w:rsidR="004212F5">
        <w:rPr>
          <w:rFonts w:ascii="Arial" w:hAnsi="Arial" w:cs="Arial"/>
        </w:rPr>
        <w:t>2</w:t>
      </w:r>
      <w:r w:rsidR="00A73414" w:rsidRPr="00EC1B14">
        <w:rPr>
          <w:rFonts w:ascii="Arial" w:hAnsi="Arial" w:cs="Arial"/>
        </w:rPr>
        <w:t xml:space="preserve"> illustrates the shift in extreme temperature compared to the local climate highlighting important changes which will affect agriculture.</w:t>
      </w:r>
    </w:p>
    <w:p w14:paraId="560BFA1C" w14:textId="0913318B" w:rsidR="0077501D" w:rsidRPr="0077501D" w:rsidRDefault="0077501D" w:rsidP="0077501D">
      <w:pPr>
        <w:pStyle w:val="Caption"/>
        <w:rPr>
          <w:rFonts w:ascii="Calibri" w:eastAsia="Times New Roman" w:hAnsi="Calibri" w:cs="Calibri"/>
          <w:b/>
          <w:bCs/>
          <w:i w:val="0"/>
          <w:iCs w:val="0"/>
          <w:color w:val="ED7D31" w:themeColor="accent2"/>
          <w:kern w:val="0"/>
          <w:sz w:val="24"/>
          <w:szCs w:val="24"/>
          <w:lang w:eastAsia="en-GB"/>
          <w14:ligatures w14:val="none"/>
        </w:rPr>
      </w:pPr>
      <w:bookmarkStart w:id="9" w:name="_Toc175238278"/>
      <w:r w:rsidRPr="0077501D">
        <w:rPr>
          <w:rFonts w:ascii="Calibri" w:eastAsia="Times New Roman" w:hAnsi="Calibri" w:cs="Calibri"/>
          <w:b/>
          <w:bCs/>
          <w:i w:val="0"/>
          <w:iCs w:val="0"/>
          <w:color w:val="ED7D31" w:themeColor="accent2"/>
          <w:kern w:val="0"/>
          <w:sz w:val="24"/>
          <w:szCs w:val="24"/>
          <w:lang w:eastAsia="en-GB"/>
          <w14:ligatures w14:val="none"/>
        </w:rPr>
        <w:t xml:space="preserve">Figure </w:t>
      </w:r>
      <w:r w:rsidRPr="0077501D">
        <w:rPr>
          <w:rFonts w:ascii="Calibri" w:eastAsia="Times New Roman" w:hAnsi="Calibri" w:cs="Calibri"/>
          <w:b/>
          <w:bCs/>
          <w:i w:val="0"/>
          <w:iCs w:val="0"/>
          <w:color w:val="ED7D31" w:themeColor="accent2"/>
          <w:kern w:val="0"/>
          <w:sz w:val="24"/>
          <w:szCs w:val="24"/>
          <w:lang w:eastAsia="en-GB"/>
          <w14:ligatures w14:val="none"/>
        </w:rPr>
        <w:fldChar w:fldCharType="begin"/>
      </w:r>
      <w:r w:rsidRPr="0077501D">
        <w:rPr>
          <w:rFonts w:ascii="Calibri" w:eastAsia="Times New Roman" w:hAnsi="Calibri" w:cs="Calibri"/>
          <w:b/>
          <w:bCs/>
          <w:i w:val="0"/>
          <w:iCs w:val="0"/>
          <w:color w:val="ED7D31" w:themeColor="accent2"/>
          <w:kern w:val="0"/>
          <w:sz w:val="24"/>
          <w:szCs w:val="24"/>
          <w:lang w:eastAsia="en-GB"/>
          <w14:ligatures w14:val="none"/>
        </w:rPr>
        <w:instrText xml:space="preserve"> SEQ Figure \* ARABIC </w:instrText>
      </w:r>
      <w:r w:rsidRPr="0077501D">
        <w:rPr>
          <w:rFonts w:ascii="Calibri" w:eastAsia="Times New Roman" w:hAnsi="Calibri" w:cs="Calibri"/>
          <w:b/>
          <w:bCs/>
          <w:i w:val="0"/>
          <w:iCs w:val="0"/>
          <w:color w:val="ED7D31" w:themeColor="accent2"/>
          <w:kern w:val="0"/>
          <w:sz w:val="24"/>
          <w:szCs w:val="24"/>
          <w:lang w:eastAsia="en-GB"/>
          <w14:ligatures w14:val="none"/>
        </w:rPr>
        <w:fldChar w:fldCharType="separate"/>
      </w:r>
      <w:r w:rsidR="00FD6222">
        <w:rPr>
          <w:rFonts w:ascii="Calibri" w:eastAsia="Times New Roman" w:hAnsi="Calibri" w:cs="Calibri"/>
          <w:b/>
          <w:bCs/>
          <w:i w:val="0"/>
          <w:iCs w:val="0"/>
          <w:noProof/>
          <w:color w:val="ED7D31" w:themeColor="accent2"/>
          <w:kern w:val="0"/>
          <w:sz w:val="24"/>
          <w:szCs w:val="24"/>
          <w:lang w:eastAsia="en-GB"/>
          <w14:ligatures w14:val="none"/>
        </w:rPr>
        <w:t>1</w:t>
      </w:r>
      <w:r w:rsidRPr="0077501D">
        <w:rPr>
          <w:rFonts w:ascii="Calibri" w:eastAsia="Times New Roman" w:hAnsi="Calibri" w:cs="Calibri"/>
          <w:b/>
          <w:bCs/>
          <w:i w:val="0"/>
          <w:iCs w:val="0"/>
          <w:color w:val="ED7D31" w:themeColor="accent2"/>
          <w:kern w:val="0"/>
          <w:sz w:val="24"/>
          <w:szCs w:val="24"/>
          <w:lang w:eastAsia="en-GB"/>
          <w14:ligatures w14:val="none"/>
        </w:rPr>
        <w:fldChar w:fldCharType="end"/>
      </w:r>
      <w:r w:rsidRPr="0077501D">
        <w:rPr>
          <w:rFonts w:ascii="Calibri" w:eastAsia="Times New Roman" w:hAnsi="Calibri" w:cs="Calibri"/>
          <w:b/>
          <w:bCs/>
          <w:i w:val="0"/>
          <w:iCs w:val="0"/>
          <w:color w:val="ED7D31" w:themeColor="accent2"/>
          <w:kern w:val="0"/>
          <w:sz w:val="24"/>
          <w:szCs w:val="24"/>
          <w:lang w:eastAsia="en-GB"/>
          <w14:ligatures w14:val="none"/>
        </w:rPr>
        <w:t>: Temperature Risk in Kenya:</w:t>
      </w:r>
      <w:bookmarkEnd w:id="9"/>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19"/>
        <w:gridCol w:w="4507"/>
      </w:tblGrid>
      <w:tr w:rsidR="004C2AC0" w:rsidRPr="00EC1B14" w14:paraId="2BF6DF67" w14:textId="016F94D3" w:rsidTr="00295938">
        <w:tc>
          <w:tcPr>
            <w:tcW w:w="4519" w:type="dxa"/>
          </w:tcPr>
          <w:p w14:paraId="4F843C43" w14:textId="6DB2D44F" w:rsidR="004C2AC0" w:rsidRPr="00EC1B14" w:rsidRDefault="004C2AC0" w:rsidP="00D25F24">
            <w:pPr>
              <w:rPr>
                <w:rFonts w:ascii="Arial" w:hAnsi="Arial" w:cs="Arial"/>
                <w:b/>
                <w:bCs/>
              </w:rPr>
            </w:pPr>
          </w:p>
        </w:tc>
        <w:tc>
          <w:tcPr>
            <w:tcW w:w="4507" w:type="dxa"/>
          </w:tcPr>
          <w:p w14:paraId="1F08B43A" w14:textId="0087D86F" w:rsidR="004C2AC0" w:rsidRPr="00EC1B14" w:rsidRDefault="004C2AC0" w:rsidP="00D25F24">
            <w:pPr>
              <w:keepNext/>
              <w:jc w:val="both"/>
              <w:rPr>
                <w:rFonts w:ascii="Arial" w:hAnsi="Arial" w:cs="Arial"/>
                <w:b/>
                <w:bCs/>
              </w:rPr>
            </w:pPr>
          </w:p>
        </w:tc>
      </w:tr>
    </w:tbl>
    <w:p w14:paraId="3EE3D51E" w14:textId="63DDE89F" w:rsidR="008A4584" w:rsidRPr="00EC1B14" w:rsidRDefault="00A73414" w:rsidP="000067A1">
      <w:pPr>
        <w:keepNext/>
        <w:spacing w:line="240" w:lineRule="auto"/>
        <w:rPr>
          <w:rFonts w:ascii="Arial" w:hAnsi="Arial" w:cs="Arial"/>
        </w:rPr>
      </w:pPr>
      <w:r w:rsidRPr="00EC1B14">
        <w:rPr>
          <w:rFonts w:ascii="Arial" w:hAnsi="Arial" w:cs="Arial"/>
          <w:noProof/>
        </w:rPr>
        <w:drawing>
          <wp:inline distT="0" distB="0" distL="0" distR="0" wp14:anchorId="500E9165" wp14:editId="236CA142">
            <wp:extent cx="6223000" cy="2381250"/>
            <wp:effectExtent l="0" t="0" r="0" b="0"/>
            <wp:docPr id="118243091" name="Picture 1" descr="A close-up of maps of different countries/regio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43091" name="Picture 1" descr="A close-up of maps of different countries/regions&#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223000" cy="2381250"/>
                    </a:xfrm>
                    <a:prstGeom prst="rect">
                      <a:avLst/>
                    </a:prstGeom>
                  </pic:spPr>
                </pic:pic>
              </a:graphicData>
            </a:graphic>
          </wp:inline>
        </w:drawing>
      </w:r>
    </w:p>
    <w:p w14:paraId="666A1863" w14:textId="73607240" w:rsidR="00A73414" w:rsidRPr="0019739F" w:rsidRDefault="0077501D" w:rsidP="0077501D">
      <w:pPr>
        <w:pStyle w:val="NoSpacing"/>
        <w:jc w:val="both"/>
        <w:rPr>
          <w:rFonts w:ascii="Arial" w:hAnsi="Arial" w:cs="Arial"/>
          <w:sz w:val="18"/>
          <w:szCs w:val="18"/>
        </w:rPr>
      </w:pPr>
      <w:r w:rsidRPr="0019739F">
        <w:rPr>
          <w:rFonts w:ascii="Arial" w:hAnsi="Arial" w:cs="Arial"/>
          <w:sz w:val="18"/>
          <w:szCs w:val="18"/>
        </w:rPr>
        <w:t xml:space="preserve">Notes: </w:t>
      </w:r>
      <w:r w:rsidR="002B453C" w:rsidRPr="0019739F">
        <w:rPr>
          <w:rFonts w:ascii="Arial" w:hAnsi="Arial" w:cs="Arial"/>
          <w:sz w:val="18"/>
          <w:szCs w:val="18"/>
        </w:rPr>
        <w:t>Probability of Exceeding 35°C. Present Scenario (Left), Top Row: 2030 Mean, 2030 Worst Case, 2050 Mean, and 2050 Worst Case. Bottom Row: Difference with present risk for 2030 Mean, 2030 Worst Case, 2050 Mean, and 2050 Worst Case</w:t>
      </w:r>
      <w:r w:rsidR="00A73414" w:rsidRPr="0019739F">
        <w:rPr>
          <w:rFonts w:ascii="Arial" w:hAnsi="Arial" w:cs="Arial"/>
          <w:sz w:val="18"/>
          <w:szCs w:val="18"/>
        </w:rPr>
        <w:t>.</w:t>
      </w:r>
    </w:p>
    <w:p w14:paraId="17DDB7F0" w14:textId="77777777" w:rsidR="0077501D" w:rsidRDefault="0077501D" w:rsidP="0015009A">
      <w:pPr>
        <w:pStyle w:val="NoSpacing"/>
        <w:rPr>
          <w:rFonts w:ascii="Arial" w:hAnsi="Arial" w:cs="Arial"/>
          <w:sz w:val="20"/>
          <w:szCs w:val="20"/>
        </w:rPr>
      </w:pPr>
    </w:p>
    <w:p w14:paraId="2A76857C" w14:textId="1A241936" w:rsidR="0077501D" w:rsidRPr="0077501D" w:rsidRDefault="0077501D" w:rsidP="0077501D">
      <w:pPr>
        <w:pStyle w:val="Caption"/>
        <w:rPr>
          <w:rFonts w:ascii="Calibri" w:eastAsia="Times New Roman" w:hAnsi="Calibri" w:cs="Calibri"/>
          <w:b/>
          <w:bCs/>
          <w:i w:val="0"/>
          <w:iCs w:val="0"/>
          <w:color w:val="ED7D31" w:themeColor="accent2"/>
          <w:kern w:val="0"/>
          <w:sz w:val="24"/>
          <w:szCs w:val="24"/>
          <w:lang w:eastAsia="en-GB"/>
          <w14:ligatures w14:val="none"/>
        </w:rPr>
      </w:pPr>
      <w:bookmarkStart w:id="10" w:name="_Toc175238279"/>
      <w:r w:rsidRPr="0077501D">
        <w:rPr>
          <w:rFonts w:ascii="Calibri" w:eastAsia="Times New Roman" w:hAnsi="Calibri" w:cs="Calibri"/>
          <w:b/>
          <w:bCs/>
          <w:i w:val="0"/>
          <w:iCs w:val="0"/>
          <w:color w:val="ED7D31" w:themeColor="accent2"/>
          <w:kern w:val="0"/>
          <w:sz w:val="24"/>
          <w:szCs w:val="24"/>
          <w:lang w:eastAsia="en-GB"/>
          <w14:ligatures w14:val="none"/>
        </w:rPr>
        <w:t xml:space="preserve">Figure </w:t>
      </w:r>
      <w:r w:rsidRPr="0077501D">
        <w:rPr>
          <w:rFonts w:ascii="Calibri" w:eastAsia="Times New Roman" w:hAnsi="Calibri" w:cs="Calibri"/>
          <w:b/>
          <w:bCs/>
          <w:i w:val="0"/>
          <w:iCs w:val="0"/>
          <w:color w:val="ED7D31" w:themeColor="accent2"/>
          <w:kern w:val="0"/>
          <w:sz w:val="24"/>
          <w:szCs w:val="24"/>
          <w:lang w:eastAsia="en-GB"/>
          <w14:ligatures w14:val="none"/>
        </w:rPr>
        <w:fldChar w:fldCharType="begin"/>
      </w:r>
      <w:r w:rsidRPr="0077501D">
        <w:rPr>
          <w:rFonts w:ascii="Calibri" w:eastAsia="Times New Roman" w:hAnsi="Calibri" w:cs="Calibri"/>
          <w:b/>
          <w:bCs/>
          <w:i w:val="0"/>
          <w:iCs w:val="0"/>
          <w:color w:val="ED7D31" w:themeColor="accent2"/>
          <w:kern w:val="0"/>
          <w:sz w:val="24"/>
          <w:szCs w:val="24"/>
          <w:lang w:eastAsia="en-GB"/>
          <w14:ligatures w14:val="none"/>
        </w:rPr>
        <w:instrText xml:space="preserve"> SEQ Figure \* ARABIC </w:instrText>
      </w:r>
      <w:r w:rsidRPr="0077501D">
        <w:rPr>
          <w:rFonts w:ascii="Calibri" w:eastAsia="Times New Roman" w:hAnsi="Calibri" w:cs="Calibri"/>
          <w:b/>
          <w:bCs/>
          <w:i w:val="0"/>
          <w:iCs w:val="0"/>
          <w:color w:val="ED7D31" w:themeColor="accent2"/>
          <w:kern w:val="0"/>
          <w:sz w:val="24"/>
          <w:szCs w:val="24"/>
          <w:lang w:eastAsia="en-GB"/>
          <w14:ligatures w14:val="none"/>
        </w:rPr>
        <w:fldChar w:fldCharType="separate"/>
      </w:r>
      <w:r w:rsidR="00FD6222">
        <w:rPr>
          <w:rFonts w:ascii="Calibri" w:eastAsia="Times New Roman" w:hAnsi="Calibri" w:cs="Calibri"/>
          <w:b/>
          <w:bCs/>
          <w:i w:val="0"/>
          <w:iCs w:val="0"/>
          <w:noProof/>
          <w:color w:val="ED7D31" w:themeColor="accent2"/>
          <w:kern w:val="0"/>
          <w:sz w:val="24"/>
          <w:szCs w:val="24"/>
          <w:lang w:eastAsia="en-GB"/>
          <w14:ligatures w14:val="none"/>
        </w:rPr>
        <w:t>2</w:t>
      </w:r>
      <w:r w:rsidRPr="0077501D">
        <w:rPr>
          <w:rFonts w:ascii="Calibri" w:eastAsia="Times New Roman" w:hAnsi="Calibri" w:cs="Calibri"/>
          <w:b/>
          <w:bCs/>
          <w:i w:val="0"/>
          <w:iCs w:val="0"/>
          <w:color w:val="ED7D31" w:themeColor="accent2"/>
          <w:kern w:val="0"/>
          <w:sz w:val="24"/>
          <w:szCs w:val="24"/>
          <w:lang w:eastAsia="en-GB"/>
          <w14:ligatures w14:val="none"/>
        </w:rPr>
        <w:fldChar w:fldCharType="end"/>
      </w:r>
      <w:r w:rsidRPr="0077501D">
        <w:rPr>
          <w:rFonts w:ascii="Calibri" w:eastAsia="Times New Roman" w:hAnsi="Calibri" w:cs="Calibri"/>
          <w:b/>
          <w:bCs/>
          <w:i w:val="0"/>
          <w:iCs w:val="0"/>
          <w:color w:val="ED7D31" w:themeColor="accent2"/>
          <w:kern w:val="0"/>
          <w:sz w:val="24"/>
          <w:szCs w:val="24"/>
          <w:lang w:eastAsia="en-GB"/>
          <w14:ligatures w14:val="none"/>
        </w:rPr>
        <w:t>: Temperature Risk in Kenya:</w:t>
      </w:r>
      <w:bookmarkEnd w:id="10"/>
    </w:p>
    <w:p w14:paraId="370506D1" w14:textId="690649B7" w:rsidR="00A73414" w:rsidRPr="00EC1B14" w:rsidRDefault="00A73414" w:rsidP="002B453C">
      <w:pPr>
        <w:rPr>
          <w:rFonts w:ascii="Arial" w:hAnsi="Arial" w:cs="Arial"/>
        </w:rPr>
      </w:pPr>
      <w:r w:rsidRPr="00EC1B14">
        <w:rPr>
          <w:rFonts w:ascii="Arial" w:hAnsi="Arial" w:cs="Arial"/>
          <w:noProof/>
          <w:sz w:val="20"/>
          <w:szCs w:val="20"/>
        </w:rPr>
        <w:drawing>
          <wp:inline distT="0" distB="0" distL="0" distR="0" wp14:anchorId="3146EF49" wp14:editId="302F58C1">
            <wp:extent cx="6298098" cy="2266315"/>
            <wp:effectExtent l="0" t="0" r="7620" b="635"/>
            <wp:docPr id="803938747" name="Picture 3" descr="A close-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3938747" name="Picture 3" descr="A close-up of a map&#10;&#10;Description automatically generated"/>
                    <pic:cNvPicPr/>
                  </pic:nvPicPr>
                  <pic:blipFill rotWithShape="1">
                    <a:blip r:embed="rId30" cstate="print">
                      <a:extLst>
                        <a:ext uri="{28A0092B-C50C-407E-A947-70E740481C1C}">
                          <a14:useLocalDpi xmlns:a14="http://schemas.microsoft.com/office/drawing/2010/main" val="0"/>
                        </a:ext>
                      </a:extLst>
                    </a:blip>
                    <a:srcRect t="7001"/>
                    <a:stretch/>
                  </pic:blipFill>
                  <pic:spPr bwMode="auto">
                    <a:xfrm>
                      <a:off x="0" y="0"/>
                      <a:ext cx="6298098" cy="2266315"/>
                    </a:xfrm>
                    <a:prstGeom prst="rect">
                      <a:avLst/>
                    </a:prstGeom>
                    <a:ln>
                      <a:noFill/>
                    </a:ln>
                    <a:extLst>
                      <a:ext uri="{53640926-AAD7-44D8-BBD7-CCE9431645EC}">
                        <a14:shadowObscured xmlns:a14="http://schemas.microsoft.com/office/drawing/2010/main"/>
                      </a:ext>
                    </a:extLst>
                  </pic:spPr>
                </pic:pic>
              </a:graphicData>
            </a:graphic>
          </wp:inline>
        </w:drawing>
      </w:r>
    </w:p>
    <w:p w14:paraId="33EF7454" w14:textId="58B5DA65" w:rsidR="00A73414" w:rsidRPr="0019739F" w:rsidRDefault="0077501D" w:rsidP="0077501D">
      <w:pPr>
        <w:pStyle w:val="NoSpacing"/>
        <w:jc w:val="both"/>
        <w:rPr>
          <w:rFonts w:ascii="Arial" w:hAnsi="Arial" w:cs="Arial"/>
          <w:sz w:val="18"/>
          <w:szCs w:val="18"/>
        </w:rPr>
      </w:pPr>
      <w:r w:rsidRPr="0019739F">
        <w:rPr>
          <w:rFonts w:ascii="Arial" w:hAnsi="Arial" w:cs="Arial"/>
          <w:sz w:val="18"/>
          <w:szCs w:val="18"/>
        </w:rPr>
        <w:t xml:space="preserve">Notes: </w:t>
      </w:r>
      <w:r w:rsidR="00A73414" w:rsidRPr="0019739F">
        <w:rPr>
          <w:rFonts w:ascii="Arial" w:hAnsi="Arial" w:cs="Arial"/>
          <w:sz w:val="18"/>
          <w:szCs w:val="18"/>
        </w:rPr>
        <w:t>Probability of Exceeding the 90</w:t>
      </w:r>
      <w:r w:rsidR="00A73414" w:rsidRPr="0019739F">
        <w:rPr>
          <w:rFonts w:ascii="Arial" w:hAnsi="Arial" w:cs="Arial"/>
          <w:sz w:val="18"/>
          <w:szCs w:val="18"/>
          <w:vertAlign w:val="superscript"/>
        </w:rPr>
        <w:t>th</w:t>
      </w:r>
      <w:r w:rsidR="00A73414" w:rsidRPr="0019739F">
        <w:rPr>
          <w:rFonts w:ascii="Arial" w:hAnsi="Arial" w:cs="Arial"/>
          <w:sz w:val="18"/>
          <w:szCs w:val="18"/>
        </w:rPr>
        <w:t xml:space="preserve"> percentile of temperature estimated over the present period. Present Scenario (Left), Top Row: 2030 Mean, 2030 Worst Case, 2050 Mean, and 2050 Worst Case. Bottom Row: Difference with present risk for 2030 Mean, 2030 Worst Case, 2050 Mean, and 2050 Worst Case.</w:t>
      </w:r>
    </w:p>
    <w:p w14:paraId="517C7FB9" w14:textId="77777777" w:rsidR="006329B9" w:rsidRPr="00EC1B14" w:rsidRDefault="006329B9" w:rsidP="006329B9">
      <w:pPr>
        <w:pStyle w:val="NoSpacing"/>
        <w:rPr>
          <w:rFonts w:ascii="Arial" w:hAnsi="Arial" w:cs="Arial"/>
          <w:i/>
          <w:iCs/>
          <w:sz w:val="20"/>
          <w:szCs w:val="20"/>
        </w:rPr>
      </w:pPr>
    </w:p>
    <w:p w14:paraId="3C338373" w14:textId="1F46970A" w:rsidR="00EF4E2A" w:rsidRDefault="000067A1" w:rsidP="00A73414">
      <w:pPr>
        <w:jc w:val="both"/>
        <w:rPr>
          <w:rFonts w:ascii="Arial" w:hAnsi="Arial" w:cs="Arial"/>
        </w:rPr>
      </w:pPr>
      <w:r w:rsidRPr="00EC1B14">
        <w:rPr>
          <w:rFonts w:ascii="Arial" w:hAnsi="Arial" w:cs="Arial"/>
        </w:rPr>
        <w:t xml:space="preserve">Figure </w:t>
      </w:r>
      <w:r w:rsidR="004212F5">
        <w:rPr>
          <w:rFonts w:ascii="Arial" w:hAnsi="Arial" w:cs="Arial"/>
        </w:rPr>
        <w:t>3</w:t>
      </w:r>
      <w:r w:rsidRPr="00EC1B14">
        <w:rPr>
          <w:rFonts w:ascii="Arial" w:hAnsi="Arial" w:cs="Arial"/>
        </w:rPr>
        <w:t xml:space="preserve"> highlights a concerning increase in drought risk, posing challenges for water resource management and agricultural sustainability.</w:t>
      </w:r>
    </w:p>
    <w:p w14:paraId="626D9A6A" w14:textId="77777777" w:rsidR="00EF4E2A" w:rsidRPr="00EF4E2A" w:rsidRDefault="00EF4E2A" w:rsidP="00A73414">
      <w:pPr>
        <w:jc w:val="both"/>
        <w:rPr>
          <w:rFonts w:ascii="Arial" w:hAnsi="Arial" w:cs="Arial"/>
        </w:rPr>
      </w:pPr>
    </w:p>
    <w:p w14:paraId="564B634A" w14:textId="2521F9DF" w:rsidR="00EF4E2A" w:rsidRDefault="00EF4E2A" w:rsidP="00EF4E2A">
      <w:pPr>
        <w:pStyle w:val="Caption"/>
        <w:rPr>
          <w:rFonts w:ascii="Calibri" w:eastAsia="Times New Roman" w:hAnsi="Calibri" w:cs="Calibri"/>
          <w:b/>
          <w:bCs/>
          <w:i w:val="0"/>
          <w:iCs w:val="0"/>
          <w:color w:val="ED7D31" w:themeColor="accent2"/>
          <w:kern w:val="0"/>
          <w:sz w:val="24"/>
          <w:szCs w:val="24"/>
          <w:lang w:eastAsia="en-GB"/>
          <w14:ligatures w14:val="none"/>
        </w:rPr>
      </w:pPr>
      <w:bookmarkStart w:id="11" w:name="_Toc175238280"/>
      <w:r w:rsidRPr="00EF4E2A">
        <w:rPr>
          <w:rFonts w:ascii="Calibri" w:eastAsia="Times New Roman" w:hAnsi="Calibri" w:cs="Calibri"/>
          <w:b/>
          <w:bCs/>
          <w:i w:val="0"/>
          <w:iCs w:val="0"/>
          <w:color w:val="ED7D31" w:themeColor="accent2"/>
          <w:kern w:val="0"/>
          <w:sz w:val="24"/>
          <w:szCs w:val="24"/>
          <w:lang w:eastAsia="en-GB"/>
          <w14:ligatures w14:val="none"/>
        </w:rPr>
        <w:t xml:space="preserve">Figure </w:t>
      </w:r>
      <w:r w:rsidRPr="00EF4E2A">
        <w:rPr>
          <w:rFonts w:ascii="Calibri" w:eastAsia="Times New Roman" w:hAnsi="Calibri" w:cs="Calibri"/>
          <w:b/>
          <w:bCs/>
          <w:i w:val="0"/>
          <w:iCs w:val="0"/>
          <w:color w:val="ED7D31" w:themeColor="accent2"/>
          <w:kern w:val="0"/>
          <w:sz w:val="24"/>
          <w:szCs w:val="24"/>
          <w:lang w:eastAsia="en-GB"/>
          <w14:ligatures w14:val="none"/>
        </w:rPr>
        <w:fldChar w:fldCharType="begin"/>
      </w:r>
      <w:r w:rsidRPr="00EF4E2A">
        <w:rPr>
          <w:rFonts w:ascii="Calibri" w:eastAsia="Times New Roman" w:hAnsi="Calibri" w:cs="Calibri"/>
          <w:b/>
          <w:bCs/>
          <w:i w:val="0"/>
          <w:iCs w:val="0"/>
          <w:color w:val="ED7D31" w:themeColor="accent2"/>
          <w:kern w:val="0"/>
          <w:sz w:val="24"/>
          <w:szCs w:val="24"/>
          <w:lang w:eastAsia="en-GB"/>
          <w14:ligatures w14:val="none"/>
        </w:rPr>
        <w:instrText xml:space="preserve"> SEQ Figure \* ARABIC </w:instrText>
      </w:r>
      <w:r w:rsidRPr="00EF4E2A">
        <w:rPr>
          <w:rFonts w:ascii="Calibri" w:eastAsia="Times New Roman" w:hAnsi="Calibri" w:cs="Calibri"/>
          <w:b/>
          <w:bCs/>
          <w:i w:val="0"/>
          <w:iCs w:val="0"/>
          <w:color w:val="ED7D31" w:themeColor="accent2"/>
          <w:kern w:val="0"/>
          <w:sz w:val="24"/>
          <w:szCs w:val="24"/>
          <w:lang w:eastAsia="en-GB"/>
          <w14:ligatures w14:val="none"/>
        </w:rPr>
        <w:fldChar w:fldCharType="separate"/>
      </w:r>
      <w:r w:rsidR="00FD6222">
        <w:rPr>
          <w:rFonts w:ascii="Calibri" w:eastAsia="Times New Roman" w:hAnsi="Calibri" w:cs="Calibri"/>
          <w:b/>
          <w:bCs/>
          <w:i w:val="0"/>
          <w:iCs w:val="0"/>
          <w:noProof/>
          <w:color w:val="ED7D31" w:themeColor="accent2"/>
          <w:kern w:val="0"/>
          <w:sz w:val="24"/>
          <w:szCs w:val="24"/>
          <w:lang w:eastAsia="en-GB"/>
          <w14:ligatures w14:val="none"/>
        </w:rPr>
        <w:t>3</w:t>
      </w:r>
      <w:r w:rsidRPr="00EF4E2A">
        <w:rPr>
          <w:rFonts w:ascii="Calibri" w:eastAsia="Times New Roman" w:hAnsi="Calibri" w:cs="Calibri"/>
          <w:b/>
          <w:bCs/>
          <w:i w:val="0"/>
          <w:iCs w:val="0"/>
          <w:color w:val="ED7D31" w:themeColor="accent2"/>
          <w:kern w:val="0"/>
          <w:sz w:val="24"/>
          <w:szCs w:val="24"/>
          <w:lang w:eastAsia="en-GB"/>
          <w14:ligatures w14:val="none"/>
        </w:rPr>
        <w:fldChar w:fldCharType="end"/>
      </w:r>
      <w:r w:rsidRPr="00EF4E2A">
        <w:rPr>
          <w:rFonts w:ascii="Calibri" w:eastAsia="Times New Roman" w:hAnsi="Calibri" w:cs="Calibri"/>
          <w:b/>
          <w:bCs/>
          <w:i w:val="0"/>
          <w:iCs w:val="0"/>
          <w:color w:val="ED7D31" w:themeColor="accent2"/>
          <w:kern w:val="0"/>
          <w:sz w:val="24"/>
          <w:szCs w:val="24"/>
          <w:lang w:eastAsia="en-GB"/>
          <w14:ligatures w14:val="none"/>
        </w:rPr>
        <w:t xml:space="preserve"> Drought Risk (yearly probability of SPEI3 inferior to &lt; -1) in Kenya</w:t>
      </w:r>
      <w:bookmarkEnd w:id="11"/>
    </w:p>
    <w:p w14:paraId="555A6690" w14:textId="77777777" w:rsidR="00EF4E2A" w:rsidRPr="00EF4E2A" w:rsidRDefault="00EF4E2A" w:rsidP="00EF4E2A">
      <w:pPr>
        <w:pStyle w:val="Caption"/>
        <w:rPr>
          <w:rFonts w:ascii="Arial" w:hAnsi="Arial" w:cs="Arial"/>
          <w:i w:val="0"/>
          <w:iCs w:val="0"/>
        </w:rPr>
      </w:pPr>
    </w:p>
    <w:p w14:paraId="5DA09C03" w14:textId="07B128F9" w:rsidR="000067A1" w:rsidRPr="00E02F34" w:rsidRDefault="00A73414" w:rsidP="004B3822">
      <w:pPr>
        <w:jc w:val="both"/>
      </w:pPr>
      <w:r w:rsidRPr="0019739F">
        <w:rPr>
          <w:noProof/>
        </w:rPr>
        <w:drawing>
          <wp:inline distT="0" distB="0" distL="0" distR="0" wp14:anchorId="4EC6E099" wp14:editId="0DBFA1DA">
            <wp:extent cx="5730496" cy="2171989"/>
            <wp:effectExtent l="0" t="0" r="0" b="0"/>
            <wp:docPr id="2015805220" name="Picture 2" descr="A group of maps with different colo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805220" name="Picture 2" descr="A group of maps with different colors&#10;&#10;Description automatically generated"/>
                    <pic:cNvPicPr/>
                  </pic:nvPicPr>
                  <pic:blipFill rotWithShape="1">
                    <a:blip r:embed="rId31" cstate="print">
                      <a:extLst>
                        <a:ext uri="{28A0092B-C50C-407E-A947-70E740481C1C}">
                          <a14:useLocalDpi xmlns:a14="http://schemas.microsoft.com/office/drawing/2010/main" val="0"/>
                        </a:ext>
                      </a:extLst>
                    </a:blip>
                    <a:srcRect t="4533" b="6631"/>
                    <a:stretch/>
                  </pic:blipFill>
                  <pic:spPr bwMode="auto">
                    <a:xfrm>
                      <a:off x="0" y="0"/>
                      <a:ext cx="5731510" cy="2172373"/>
                    </a:xfrm>
                    <a:prstGeom prst="rect">
                      <a:avLst/>
                    </a:prstGeom>
                    <a:ln>
                      <a:noFill/>
                    </a:ln>
                    <a:extLst>
                      <a:ext uri="{53640926-AAD7-44D8-BBD7-CCE9431645EC}">
                        <a14:shadowObscured xmlns:a14="http://schemas.microsoft.com/office/drawing/2010/main"/>
                      </a:ext>
                    </a:extLst>
                  </pic:spPr>
                </pic:pic>
              </a:graphicData>
            </a:graphic>
          </wp:inline>
        </w:drawing>
      </w:r>
      <w:r w:rsidR="008A4584" w:rsidRPr="00EC1B14">
        <w:rPr>
          <w:rFonts w:ascii="Arial" w:hAnsi="Arial" w:cs="Arial"/>
          <w:sz w:val="20"/>
          <w:szCs w:val="20"/>
        </w:rPr>
        <w:t xml:space="preserve"> </w:t>
      </w:r>
      <w:r w:rsidR="0077501D" w:rsidRPr="0019739F">
        <w:rPr>
          <w:rFonts w:ascii="Arial" w:hAnsi="Arial" w:cs="Arial"/>
          <w:sz w:val="18"/>
          <w:szCs w:val="18"/>
        </w:rPr>
        <w:t xml:space="preserve">Notes: </w:t>
      </w:r>
      <w:r w:rsidR="002B453C" w:rsidRPr="0019739F">
        <w:rPr>
          <w:rFonts w:ascii="Arial" w:hAnsi="Arial" w:cs="Arial"/>
          <w:sz w:val="18"/>
          <w:szCs w:val="18"/>
        </w:rPr>
        <w:t>Probability Assessment of Severe Drought Conditions. Present Scenario (Left), Top Row: 2030 Mean, 2030 Worst Case, 2050 Mean, and 2050 Worst Case. Bottom Row, difference with present risk for 2030 Mean, 2030 Worst Case, 2050 Mean, and 2050 Worst Case.</w:t>
      </w:r>
    </w:p>
    <w:p w14:paraId="7D773826" w14:textId="18B9B945" w:rsidR="000067A1" w:rsidRDefault="000067A1" w:rsidP="004B3822">
      <w:pPr>
        <w:jc w:val="both"/>
        <w:rPr>
          <w:rFonts w:ascii="Arial" w:hAnsi="Arial" w:cs="Arial"/>
        </w:rPr>
      </w:pPr>
      <w:r w:rsidRPr="00EC1B14">
        <w:rPr>
          <w:rFonts w:ascii="Arial" w:hAnsi="Arial" w:cs="Arial"/>
        </w:rPr>
        <w:t xml:space="preserve">Figure </w:t>
      </w:r>
      <w:r w:rsidR="004212F5">
        <w:rPr>
          <w:rFonts w:ascii="Arial" w:hAnsi="Arial" w:cs="Arial"/>
        </w:rPr>
        <w:t>4</w:t>
      </w:r>
      <w:r w:rsidRPr="00EC1B14">
        <w:rPr>
          <w:rFonts w:ascii="Arial" w:hAnsi="Arial" w:cs="Arial"/>
        </w:rPr>
        <w:t xml:space="preserve"> highlights the escalation of extreme precipitation events that underscore the heightened probability of pluvial flooding, a factor not conventionally addressed in flooding models, necessitating proactive risk management strategies. </w:t>
      </w:r>
    </w:p>
    <w:p w14:paraId="3FC32D4C" w14:textId="4A6069A3" w:rsidR="0077501D" w:rsidRPr="0077501D" w:rsidRDefault="0077501D" w:rsidP="0077501D">
      <w:pPr>
        <w:pStyle w:val="NoSpacing"/>
        <w:jc w:val="both"/>
        <w:rPr>
          <w:rFonts w:ascii="Calibri" w:eastAsia="Times New Roman" w:hAnsi="Calibri" w:cs="Calibri"/>
          <w:b/>
          <w:bCs/>
          <w:color w:val="ED7D31" w:themeColor="accent2"/>
          <w:kern w:val="0"/>
          <w:sz w:val="24"/>
          <w:szCs w:val="24"/>
          <w:lang w:eastAsia="en-GB"/>
          <w14:ligatures w14:val="none"/>
        </w:rPr>
      </w:pPr>
      <w:bookmarkStart w:id="12" w:name="_Toc175238281"/>
      <w:r w:rsidRPr="0077501D">
        <w:rPr>
          <w:rFonts w:ascii="Calibri" w:eastAsia="Times New Roman" w:hAnsi="Calibri" w:cs="Calibri"/>
          <w:b/>
          <w:bCs/>
          <w:color w:val="ED7D31" w:themeColor="accent2"/>
          <w:kern w:val="0"/>
          <w:sz w:val="24"/>
          <w:szCs w:val="24"/>
          <w:lang w:eastAsia="en-GB"/>
          <w14:ligatures w14:val="none"/>
        </w:rPr>
        <w:t xml:space="preserve">Figure </w:t>
      </w:r>
      <w:r w:rsidRPr="0077501D">
        <w:rPr>
          <w:rFonts w:ascii="Calibri" w:eastAsia="Times New Roman" w:hAnsi="Calibri" w:cs="Calibri"/>
          <w:b/>
          <w:bCs/>
          <w:color w:val="ED7D31" w:themeColor="accent2"/>
          <w:kern w:val="0"/>
          <w:sz w:val="24"/>
          <w:szCs w:val="24"/>
          <w:lang w:eastAsia="en-GB"/>
          <w14:ligatures w14:val="none"/>
        </w:rPr>
        <w:fldChar w:fldCharType="begin"/>
      </w:r>
      <w:r w:rsidRPr="0077501D">
        <w:rPr>
          <w:rFonts w:ascii="Calibri" w:eastAsia="Times New Roman" w:hAnsi="Calibri" w:cs="Calibri"/>
          <w:b/>
          <w:bCs/>
          <w:color w:val="ED7D31" w:themeColor="accent2"/>
          <w:kern w:val="0"/>
          <w:sz w:val="24"/>
          <w:szCs w:val="24"/>
          <w:lang w:eastAsia="en-GB"/>
          <w14:ligatures w14:val="none"/>
        </w:rPr>
        <w:instrText xml:space="preserve"> SEQ Figure \* ARABIC </w:instrText>
      </w:r>
      <w:r w:rsidRPr="0077501D">
        <w:rPr>
          <w:rFonts w:ascii="Calibri" w:eastAsia="Times New Roman" w:hAnsi="Calibri" w:cs="Calibri"/>
          <w:b/>
          <w:bCs/>
          <w:color w:val="ED7D31" w:themeColor="accent2"/>
          <w:kern w:val="0"/>
          <w:sz w:val="24"/>
          <w:szCs w:val="24"/>
          <w:lang w:eastAsia="en-GB"/>
          <w14:ligatures w14:val="none"/>
        </w:rPr>
        <w:fldChar w:fldCharType="separate"/>
      </w:r>
      <w:r w:rsidR="00FD6222">
        <w:rPr>
          <w:rFonts w:ascii="Calibri" w:eastAsia="Times New Roman" w:hAnsi="Calibri" w:cs="Calibri"/>
          <w:b/>
          <w:bCs/>
          <w:noProof/>
          <w:color w:val="ED7D31" w:themeColor="accent2"/>
          <w:kern w:val="0"/>
          <w:sz w:val="24"/>
          <w:szCs w:val="24"/>
          <w:lang w:eastAsia="en-GB"/>
          <w14:ligatures w14:val="none"/>
        </w:rPr>
        <w:t>4</w:t>
      </w:r>
      <w:r w:rsidRPr="0077501D">
        <w:rPr>
          <w:rFonts w:ascii="Calibri" w:eastAsia="Times New Roman" w:hAnsi="Calibri" w:cs="Calibri"/>
          <w:b/>
          <w:bCs/>
          <w:color w:val="ED7D31" w:themeColor="accent2"/>
          <w:kern w:val="0"/>
          <w:sz w:val="24"/>
          <w:szCs w:val="24"/>
          <w:lang w:eastAsia="en-GB"/>
          <w14:ligatures w14:val="none"/>
        </w:rPr>
        <w:fldChar w:fldCharType="end"/>
      </w:r>
      <w:r w:rsidRPr="0077501D">
        <w:rPr>
          <w:rFonts w:ascii="Calibri" w:eastAsia="Times New Roman" w:hAnsi="Calibri" w:cs="Calibri"/>
          <w:b/>
          <w:bCs/>
          <w:color w:val="ED7D31" w:themeColor="accent2"/>
          <w:kern w:val="0"/>
          <w:sz w:val="24"/>
          <w:szCs w:val="24"/>
          <w:lang w:eastAsia="en-GB"/>
          <w14:ligatures w14:val="none"/>
        </w:rPr>
        <w:t>: Extreme Precipitation Risk in Kenya:</w:t>
      </w:r>
      <w:bookmarkEnd w:id="12"/>
      <w:r w:rsidRPr="0077501D">
        <w:rPr>
          <w:rFonts w:ascii="Calibri" w:eastAsia="Times New Roman" w:hAnsi="Calibri" w:cs="Calibri"/>
          <w:b/>
          <w:bCs/>
          <w:color w:val="ED7D31" w:themeColor="accent2"/>
          <w:kern w:val="0"/>
          <w:sz w:val="24"/>
          <w:szCs w:val="24"/>
          <w:lang w:eastAsia="en-GB"/>
          <w14:ligatures w14:val="none"/>
        </w:rPr>
        <w:t xml:space="preserve"> </w:t>
      </w:r>
    </w:p>
    <w:p w14:paraId="53B196EB" w14:textId="77777777" w:rsidR="008A4584" w:rsidRPr="00EC1B14" w:rsidRDefault="008A4584" w:rsidP="000067A1">
      <w:pPr>
        <w:keepNext/>
        <w:spacing w:line="240" w:lineRule="auto"/>
        <w:rPr>
          <w:rFonts w:ascii="Arial" w:hAnsi="Arial" w:cs="Arial"/>
        </w:rPr>
      </w:pPr>
      <w:r w:rsidRPr="00EC1B14">
        <w:rPr>
          <w:rFonts w:ascii="Arial" w:hAnsi="Arial" w:cs="Arial"/>
          <w:b/>
          <w:bCs/>
          <w:noProof/>
          <w:sz w:val="21"/>
          <w:szCs w:val="21"/>
        </w:rPr>
        <w:drawing>
          <wp:inline distT="0" distB="0" distL="0" distR="0" wp14:anchorId="0D306E9C" wp14:editId="02CAED91">
            <wp:extent cx="5729848" cy="2844800"/>
            <wp:effectExtent l="0" t="0" r="4445" b="0"/>
            <wp:docPr id="1524121300" name="Picture 4" descr="A group of maps of different colo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4121300" name="Picture 4" descr="A group of maps of different colors&#10;&#10;Description automatically generated"/>
                    <pic:cNvPicPr/>
                  </pic:nvPicPr>
                  <pic:blipFill rotWithShape="1">
                    <a:blip r:embed="rId32" cstate="print">
                      <a:extLst>
                        <a:ext uri="{28A0092B-C50C-407E-A947-70E740481C1C}">
                          <a14:useLocalDpi xmlns:a14="http://schemas.microsoft.com/office/drawing/2010/main" val="0"/>
                        </a:ext>
                      </a:extLst>
                    </a:blip>
                    <a:srcRect t="7907" b="8082"/>
                    <a:stretch/>
                  </pic:blipFill>
                  <pic:spPr bwMode="auto">
                    <a:xfrm>
                      <a:off x="0" y="0"/>
                      <a:ext cx="5734426" cy="2847073"/>
                    </a:xfrm>
                    <a:prstGeom prst="rect">
                      <a:avLst/>
                    </a:prstGeom>
                    <a:ln>
                      <a:noFill/>
                    </a:ln>
                    <a:extLst>
                      <a:ext uri="{53640926-AAD7-44D8-BBD7-CCE9431645EC}">
                        <a14:shadowObscured xmlns:a14="http://schemas.microsoft.com/office/drawing/2010/main"/>
                      </a:ext>
                    </a:extLst>
                  </pic:spPr>
                </pic:pic>
              </a:graphicData>
            </a:graphic>
          </wp:inline>
        </w:drawing>
      </w:r>
    </w:p>
    <w:p w14:paraId="341CD7CD" w14:textId="412B1F7C" w:rsidR="00091FBB" w:rsidRPr="0019739F" w:rsidRDefault="0077501D" w:rsidP="006329B9">
      <w:pPr>
        <w:pStyle w:val="NoSpacing"/>
        <w:jc w:val="both"/>
        <w:rPr>
          <w:rFonts w:ascii="Arial" w:hAnsi="Arial" w:cs="Arial"/>
          <w:sz w:val="18"/>
          <w:szCs w:val="18"/>
        </w:rPr>
      </w:pPr>
      <w:r w:rsidRPr="0019739F">
        <w:rPr>
          <w:rFonts w:ascii="Arial" w:hAnsi="Arial" w:cs="Arial"/>
          <w:sz w:val="18"/>
          <w:szCs w:val="18"/>
        </w:rPr>
        <w:t xml:space="preserve">Notes: </w:t>
      </w:r>
      <w:r w:rsidR="002B453C" w:rsidRPr="0019739F">
        <w:rPr>
          <w:rFonts w:ascii="Arial" w:hAnsi="Arial" w:cs="Arial"/>
          <w:sz w:val="18"/>
          <w:szCs w:val="18"/>
        </w:rPr>
        <w:t>Yearly Probability of 5-Day Precipitation Exceeding 200mm/Day. Present Scenario (Left), Top Row: 2030 Mean, 2030 Worst Case, 2050 Mean, and 2050 Worst Case. Bottom Row, difference with present risk for 2030 Mean, 2030 Worst Case, 2050 Mean, and 2050 Worst Case.</w:t>
      </w:r>
    </w:p>
    <w:p w14:paraId="61397FD6" w14:textId="217135F7" w:rsidR="00091FBB" w:rsidRDefault="00091FBB" w:rsidP="004B3822">
      <w:pPr>
        <w:jc w:val="both"/>
        <w:rPr>
          <w:rFonts w:ascii="Arial" w:hAnsi="Arial" w:cs="Arial"/>
        </w:rPr>
      </w:pPr>
      <w:r w:rsidRPr="00EC1B14">
        <w:rPr>
          <w:rFonts w:ascii="Arial" w:hAnsi="Arial" w:cs="Arial"/>
        </w:rPr>
        <w:t xml:space="preserve">Despite flood risk maintaining its prominence across the nation, coastal regions experience a marginal elevation in vulnerability due to climate change impacts, as demonstrated in Figure </w:t>
      </w:r>
      <w:r w:rsidR="00E02F34">
        <w:rPr>
          <w:rFonts w:ascii="Arial" w:hAnsi="Arial" w:cs="Arial"/>
        </w:rPr>
        <w:t>5</w:t>
      </w:r>
      <w:r w:rsidRPr="00EC1B14">
        <w:rPr>
          <w:rFonts w:ascii="Arial" w:hAnsi="Arial" w:cs="Arial"/>
        </w:rPr>
        <w:t xml:space="preserve"> below.</w:t>
      </w:r>
    </w:p>
    <w:p w14:paraId="40F83C68" w14:textId="77777777" w:rsidR="00E02F34" w:rsidRDefault="00E02F34" w:rsidP="004B3822">
      <w:pPr>
        <w:jc w:val="both"/>
        <w:rPr>
          <w:rFonts w:ascii="Arial" w:hAnsi="Arial" w:cs="Arial"/>
        </w:rPr>
      </w:pPr>
    </w:p>
    <w:p w14:paraId="2AD5C07C" w14:textId="068F27E0" w:rsidR="00451D53" w:rsidRPr="00E02F34" w:rsidRDefault="00451D53" w:rsidP="00E02F34">
      <w:pPr>
        <w:pStyle w:val="NoSpacing"/>
        <w:jc w:val="both"/>
        <w:rPr>
          <w:rFonts w:ascii="Calibri" w:eastAsia="Times New Roman" w:hAnsi="Calibri" w:cs="Calibri"/>
          <w:b/>
          <w:bCs/>
          <w:color w:val="ED7D31" w:themeColor="accent2"/>
          <w:kern w:val="0"/>
          <w:sz w:val="24"/>
          <w:szCs w:val="24"/>
          <w:lang w:eastAsia="en-GB"/>
          <w14:ligatures w14:val="none"/>
        </w:rPr>
      </w:pPr>
      <w:bookmarkStart w:id="13" w:name="_Toc175238282"/>
      <w:r w:rsidRPr="0077501D">
        <w:rPr>
          <w:rFonts w:ascii="Calibri" w:eastAsia="Times New Roman" w:hAnsi="Calibri" w:cs="Calibri"/>
          <w:b/>
          <w:bCs/>
          <w:color w:val="ED7D31" w:themeColor="accent2"/>
          <w:kern w:val="0"/>
          <w:sz w:val="24"/>
          <w:szCs w:val="24"/>
          <w:lang w:eastAsia="en-GB"/>
          <w14:ligatures w14:val="none"/>
        </w:rPr>
        <w:t xml:space="preserve">Figure </w:t>
      </w:r>
      <w:r w:rsidRPr="0077501D">
        <w:rPr>
          <w:rFonts w:ascii="Calibri" w:eastAsia="Times New Roman" w:hAnsi="Calibri" w:cs="Calibri"/>
          <w:b/>
          <w:bCs/>
          <w:color w:val="ED7D31" w:themeColor="accent2"/>
          <w:kern w:val="0"/>
          <w:sz w:val="24"/>
          <w:szCs w:val="24"/>
          <w:lang w:eastAsia="en-GB"/>
          <w14:ligatures w14:val="none"/>
        </w:rPr>
        <w:fldChar w:fldCharType="begin"/>
      </w:r>
      <w:r w:rsidRPr="0077501D">
        <w:rPr>
          <w:rFonts w:ascii="Calibri" w:eastAsia="Times New Roman" w:hAnsi="Calibri" w:cs="Calibri"/>
          <w:b/>
          <w:bCs/>
          <w:color w:val="ED7D31" w:themeColor="accent2"/>
          <w:kern w:val="0"/>
          <w:sz w:val="24"/>
          <w:szCs w:val="24"/>
          <w:lang w:eastAsia="en-GB"/>
          <w14:ligatures w14:val="none"/>
        </w:rPr>
        <w:instrText xml:space="preserve"> SEQ Figure \* ARABIC </w:instrText>
      </w:r>
      <w:r w:rsidRPr="0077501D">
        <w:rPr>
          <w:rFonts w:ascii="Calibri" w:eastAsia="Times New Roman" w:hAnsi="Calibri" w:cs="Calibri"/>
          <w:b/>
          <w:bCs/>
          <w:color w:val="ED7D31" w:themeColor="accent2"/>
          <w:kern w:val="0"/>
          <w:sz w:val="24"/>
          <w:szCs w:val="24"/>
          <w:lang w:eastAsia="en-GB"/>
          <w14:ligatures w14:val="none"/>
        </w:rPr>
        <w:fldChar w:fldCharType="separate"/>
      </w:r>
      <w:r w:rsidR="00FD6222">
        <w:rPr>
          <w:rFonts w:ascii="Calibri" w:eastAsia="Times New Roman" w:hAnsi="Calibri" w:cs="Calibri"/>
          <w:b/>
          <w:bCs/>
          <w:noProof/>
          <w:color w:val="ED7D31" w:themeColor="accent2"/>
          <w:kern w:val="0"/>
          <w:sz w:val="24"/>
          <w:szCs w:val="24"/>
          <w:lang w:eastAsia="en-GB"/>
          <w14:ligatures w14:val="none"/>
        </w:rPr>
        <w:t>5</w:t>
      </w:r>
      <w:r w:rsidRPr="0077501D">
        <w:rPr>
          <w:rFonts w:ascii="Calibri" w:eastAsia="Times New Roman" w:hAnsi="Calibri" w:cs="Calibri"/>
          <w:b/>
          <w:bCs/>
          <w:color w:val="ED7D31" w:themeColor="accent2"/>
          <w:kern w:val="0"/>
          <w:sz w:val="24"/>
          <w:szCs w:val="24"/>
          <w:lang w:eastAsia="en-GB"/>
          <w14:ligatures w14:val="none"/>
        </w:rPr>
        <w:fldChar w:fldCharType="end"/>
      </w:r>
      <w:r w:rsidRPr="0077501D">
        <w:rPr>
          <w:rFonts w:ascii="Calibri" w:eastAsia="Times New Roman" w:hAnsi="Calibri" w:cs="Calibri"/>
          <w:b/>
          <w:bCs/>
          <w:color w:val="ED7D31" w:themeColor="accent2"/>
          <w:kern w:val="0"/>
          <w:sz w:val="24"/>
          <w:szCs w:val="24"/>
          <w:lang w:eastAsia="en-GB"/>
          <w14:ligatures w14:val="none"/>
        </w:rPr>
        <w:t>: Flooding Risk in Kenya:</w:t>
      </w:r>
      <w:bookmarkEnd w:id="13"/>
      <w:r w:rsidRPr="0077501D">
        <w:rPr>
          <w:rFonts w:ascii="Calibri" w:eastAsia="Times New Roman" w:hAnsi="Calibri" w:cs="Calibri"/>
          <w:b/>
          <w:bCs/>
          <w:color w:val="ED7D31" w:themeColor="accent2"/>
          <w:kern w:val="0"/>
          <w:sz w:val="24"/>
          <w:szCs w:val="24"/>
          <w:lang w:eastAsia="en-GB"/>
          <w14:ligatures w14:val="none"/>
        </w:rPr>
        <w:t xml:space="preserve"> </w:t>
      </w:r>
    </w:p>
    <w:p w14:paraId="6F720BCE" w14:textId="77777777" w:rsidR="008A4584" w:rsidRPr="00EC1B14" w:rsidRDefault="008A4584" w:rsidP="000067A1">
      <w:pPr>
        <w:keepNext/>
        <w:spacing w:line="240" w:lineRule="auto"/>
        <w:rPr>
          <w:rFonts w:ascii="Arial" w:hAnsi="Arial" w:cs="Arial"/>
        </w:rPr>
      </w:pPr>
      <w:r w:rsidRPr="00EC1B14">
        <w:rPr>
          <w:rFonts w:ascii="Arial" w:hAnsi="Arial" w:cs="Arial"/>
          <w:b/>
          <w:bCs/>
          <w:noProof/>
          <w:sz w:val="21"/>
          <w:szCs w:val="21"/>
        </w:rPr>
        <w:drawing>
          <wp:inline distT="0" distB="0" distL="0" distR="0" wp14:anchorId="5407F746" wp14:editId="30497F84">
            <wp:extent cx="5924550" cy="4248150"/>
            <wp:effectExtent l="0" t="0" r="0" b="0"/>
            <wp:docPr id="1427870106" name="Picture 3" descr="A close-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7870106" name="Picture 3" descr="A close-up of a map&#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924550" cy="4248150"/>
                    </a:xfrm>
                    <a:prstGeom prst="rect">
                      <a:avLst/>
                    </a:prstGeom>
                  </pic:spPr>
                </pic:pic>
              </a:graphicData>
            </a:graphic>
          </wp:inline>
        </w:drawing>
      </w:r>
    </w:p>
    <w:p w14:paraId="467612E3" w14:textId="240278F2" w:rsidR="002B453C" w:rsidRPr="0019739F" w:rsidRDefault="00451D53" w:rsidP="004B3822">
      <w:pPr>
        <w:pStyle w:val="NoSpacing"/>
        <w:rPr>
          <w:rFonts w:ascii="Arial" w:hAnsi="Arial" w:cs="Arial"/>
          <w:sz w:val="18"/>
          <w:szCs w:val="18"/>
        </w:rPr>
      </w:pPr>
      <w:r w:rsidRPr="0019739F">
        <w:rPr>
          <w:rFonts w:ascii="Arial" w:hAnsi="Arial" w:cs="Arial"/>
          <w:sz w:val="18"/>
          <w:szCs w:val="18"/>
        </w:rPr>
        <w:t xml:space="preserve">Notes: </w:t>
      </w:r>
      <w:r w:rsidR="002B453C" w:rsidRPr="0019739F">
        <w:rPr>
          <w:rFonts w:ascii="Arial" w:hAnsi="Arial" w:cs="Arial"/>
          <w:sz w:val="18"/>
          <w:szCs w:val="18"/>
        </w:rPr>
        <w:t>Probabilities of Exceeding 10cm Flooding Events. Present Scenario (Left), Top Row: 2030 Mean, and 205. Bottom Row, the difference with present risk for 2030 and 2050.</w:t>
      </w:r>
    </w:p>
    <w:p w14:paraId="02EFF393" w14:textId="77777777" w:rsidR="002B453C" w:rsidRPr="00EC1B14" w:rsidRDefault="002B453C">
      <w:pPr>
        <w:rPr>
          <w:rFonts w:ascii="Arial" w:hAnsi="Arial" w:cs="Arial"/>
          <w:sz w:val="20"/>
          <w:szCs w:val="20"/>
        </w:rPr>
      </w:pPr>
      <w:r w:rsidRPr="00EC1B14">
        <w:rPr>
          <w:rFonts w:ascii="Arial" w:hAnsi="Arial" w:cs="Arial"/>
          <w:sz w:val="20"/>
          <w:szCs w:val="20"/>
        </w:rPr>
        <w:br w:type="page"/>
      </w:r>
    </w:p>
    <w:p w14:paraId="5A25C01F" w14:textId="1C40F71D" w:rsidR="008A4584" w:rsidRPr="00EC1B14" w:rsidRDefault="008A4584" w:rsidP="00091FBB">
      <w:pPr>
        <w:spacing w:before="100" w:beforeAutospacing="1" w:after="100" w:afterAutospacing="1" w:line="240" w:lineRule="auto"/>
        <w:rPr>
          <w:rFonts w:ascii="Arial" w:hAnsi="Arial" w:cs="Arial"/>
          <w:b/>
          <w:bCs/>
        </w:rPr>
      </w:pPr>
      <w:r w:rsidRPr="00EC1B14">
        <w:rPr>
          <w:rFonts w:ascii="Arial" w:hAnsi="Arial" w:cs="Arial"/>
          <w:b/>
          <w:bCs/>
        </w:rPr>
        <w:t>Method</w:t>
      </w:r>
      <w:r w:rsidR="00091FBB" w:rsidRPr="00EC1B14">
        <w:rPr>
          <w:rFonts w:ascii="Arial" w:hAnsi="Arial" w:cs="Arial"/>
          <w:b/>
          <w:bCs/>
        </w:rPr>
        <w:t>ology u</w:t>
      </w:r>
      <w:r w:rsidR="000067A1" w:rsidRPr="00EC1B14">
        <w:rPr>
          <w:rFonts w:ascii="Arial" w:hAnsi="Arial" w:cs="Arial"/>
          <w:b/>
          <w:bCs/>
        </w:rPr>
        <w:t xml:space="preserve">sed </w:t>
      </w:r>
      <w:r w:rsidR="00091FBB" w:rsidRPr="00EC1B14">
        <w:rPr>
          <w:rFonts w:ascii="Arial" w:hAnsi="Arial" w:cs="Arial"/>
          <w:b/>
          <w:bCs/>
        </w:rPr>
        <w:t>in Mapping</w:t>
      </w:r>
      <w:r w:rsidR="000067A1" w:rsidRPr="00EC1B14">
        <w:rPr>
          <w:rFonts w:ascii="Arial" w:hAnsi="Arial" w:cs="Arial"/>
          <w:b/>
          <w:bCs/>
        </w:rPr>
        <w:t xml:space="preserve"> </w:t>
      </w:r>
    </w:p>
    <w:p w14:paraId="2FFB8080" w14:textId="2808B393" w:rsidR="008A4584" w:rsidRPr="00EC1B14" w:rsidRDefault="000067A1" w:rsidP="000067A1">
      <w:pPr>
        <w:spacing w:line="240" w:lineRule="auto"/>
        <w:jc w:val="both"/>
        <w:rPr>
          <w:rFonts w:ascii="Arial" w:hAnsi="Arial" w:cs="Arial"/>
          <w:sz w:val="21"/>
          <w:szCs w:val="21"/>
        </w:rPr>
      </w:pPr>
      <w:r w:rsidRPr="00EC1B14">
        <w:rPr>
          <w:rFonts w:ascii="Arial" w:hAnsi="Arial" w:cs="Arial"/>
          <w:sz w:val="21"/>
          <w:szCs w:val="21"/>
        </w:rPr>
        <w:t>To estimate</w:t>
      </w:r>
      <w:r w:rsidR="008A4584" w:rsidRPr="00EC1B14">
        <w:rPr>
          <w:rFonts w:ascii="Arial" w:hAnsi="Arial" w:cs="Arial"/>
          <w:sz w:val="21"/>
          <w:szCs w:val="21"/>
        </w:rPr>
        <w:t xml:space="preserve"> extreme precipitation and drought, we </w:t>
      </w:r>
      <w:r w:rsidRPr="00EC1B14">
        <w:rPr>
          <w:rFonts w:ascii="Arial" w:hAnsi="Arial" w:cs="Arial"/>
          <w:sz w:val="21"/>
          <w:szCs w:val="21"/>
        </w:rPr>
        <w:t>utilised</w:t>
      </w:r>
      <w:r w:rsidR="008A4584" w:rsidRPr="00EC1B14">
        <w:rPr>
          <w:rFonts w:ascii="Arial" w:hAnsi="Arial" w:cs="Arial"/>
          <w:sz w:val="21"/>
          <w:szCs w:val="21"/>
        </w:rPr>
        <w:t xml:space="preserve"> data sourced from the NASA-NEX Global Daily Downscaled Climate Projections (GDDP) based on the Coupled Model Intercomparison Project Phase 6 (CMIP6). This dataset offers reliable and up-to-date climate information processed using robust scientific methodologies. Specifically, we employed bias-corrected daily data provided by NASA-NEX, ensuring accuracy and consistency in our analyses. The spatial resolution of 25 </w:t>
      </w:r>
      <w:r w:rsidRPr="00EC1B14">
        <w:rPr>
          <w:rFonts w:ascii="Arial" w:hAnsi="Arial" w:cs="Arial"/>
          <w:sz w:val="21"/>
          <w:szCs w:val="21"/>
        </w:rPr>
        <w:t>kilometres</w:t>
      </w:r>
      <w:r w:rsidR="008A4584" w:rsidRPr="00EC1B14">
        <w:rPr>
          <w:rFonts w:ascii="Arial" w:hAnsi="Arial" w:cs="Arial"/>
          <w:sz w:val="21"/>
          <w:szCs w:val="21"/>
        </w:rPr>
        <w:t xml:space="preserve"> provided by this dataset allows for detailed assessments of extreme precipitation and drought patterns across Kenya. Access to this dataset was facilitated through the NASA Earth Exchange (NEX) platform, ensuring transparency and accessibility. (Reference: NASA Earth Exchange - NEX GDDP)</w:t>
      </w:r>
    </w:p>
    <w:p w14:paraId="0D6A5953" w14:textId="0DEA93F2" w:rsidR="00295938" w:rsidRPr="00EC1B14" w:rsidRDefault="008A4584" w:rsidP="006329B9">
      <w:pPr>
        <w:spacing w:line="240" w:lineRule="auto"/>
        <w:jc w:val="both"/>
        <w:rPr>
          <w:rFonts w:ascii="Arial" w:hAnsi="Arial" w:cs="Arial"/>
          <w:sz w:val="21"/>
          <w:szCs w:val="21"/>
        </w:rPr>
      </w:pPr>
      <w:r w:rsidRPr="00EC1B14">
        <w:rPr>
          <w:rFonts w:ascii="Arial" w:hAnsi="Arial" w:cs="Arial"/>
          <w:sz w:val="21"/>
          <w:szCs w:val="21"/>
        </w:rPr>
        <w:t xml:space="preserve">In estimating flooding risk, we adopted an integrated approach </w:t>
      </w:r>
      <w:r w:rsidR="000067A1" w:rsidRPr="00EC1B14">
        <w:rPr>
          <w:rFonts w:ascii="Arial" w:hAnsi="Arial" w:cs="Arial"/>
          <w:sz w:val="21"/>
          <w:szCs w:val="21"/>
        </w:rPr>
        <w:t>utilising</w:t>
      </w:r>
      <w:r w:rsidRPr="00EC1B14">
        <w:rPr>
          <w:rFonts w:ascii="Arial" w:hAnsi="Arial" w:cs="Arial"/>
          <w:sz w:val="21"/>
          <w:szCs w:val="21"/>
        </w:rPr>
        <w:t xml:space="preserve"> multiple data sources and models. Satellite observations from the Cloud-to-Street platform provided essential insights into current flooding patterns and dynamics. Additionally, we employed the ISIMIP model from the Climada dataset, which offers advanced simulation capabilities for assessing future riverine flood risks. Furthermore, projections from the Deltares coastal flooding model were incorporated to account for future changes in coastal flooding risk due to climate change. By integrating these diverse datasets and models, we were able to comprehensively evaluate flooding risk across different regions of Kenya, considering both current and future scenarios. </w:t>
      </w:r>
    </w:p>
    <w:p w14:paraId="6C70A8D7" w14:textId="6318AD22" w:rsidR="00E64C45" w:rsidRPr="00EC1B14" w:rsidRDefault="70F695C3" w:rsidP="00D25F24">
      <w:pPr>
        <w:pStyle w:val="Heading2"/>
        <w:spacing w:before="100" w:beforeAutospacing="1" w:after="100" w:afterAutospacing="1" w:line="240" w:lineRule="auto"/>
        <w:rPr>
          <w:rFonts w:ascii="Arial" w:hAnsi="Arial" w:cs="Arial"/>
          <w:b/>
          <w:bCs/>
          <w:color w:val="auto"/>
          <w:sz w:val="24"/>
          <w:szCs w:val="24"/>
        </w:rPr>
      </w:pPr>
      <w:bookmarkStart w:id="14" w:name="_2.1.1_Defining_Physical"/>
      <w:bookmarkStart w:id="15" w:name="_Defining_Physical_Risks"/>
      <w:bookmarkStart w:id="16" w:name="_Toc159248349"/>
      <w:bookmarkStart w:id="17" w:name="_Toc171906995"/>
      <w:bookmarkEnd w:id="14"/>
      <w:bookmarkEnd w:id="15"/>
      <w:r w:rsidRPr="00EC1B14">
        <w:rPr>
          <w:rFonts w:ascii="Arial" w:hAnsi="Arial" w:cs="Arial"/>
          <w:b/>
          <w:bCs/>
          <w:color w:val="auto"/>
          <w:sz w:val="24"/>
          <w:szCs w:val="24"/>
        </w:rPr>
        <w:t>Defining Physical Risks for Financial Institutions</w:t>
      </w:r>
      <w:bookmarkEnd w:id="16"/>
      <w:bookmarkEnd w:id="17"/>
    </w:p>
    <w:p w14:paraId="5E04E419" w14:textId="0826D521" w:rsidR="00647A6A" w:rsidRPr="00EC1B14" w:rsidRDefault="00E64C45" w:rsidP="00D25F24">
      <w:pPr>
        <w:spacing w:before="100" w:beforeAutospacing="1" w:after="100" w:afterAutospacing="1" w:line="240" w:lineRule="auto"/>
        <w:jc w:val="both"/>
        <w:rPr>
          <w:rFonts w:ascii="Arial" w:hAnsi="Arial" w:cs="Arial"/>
        </w:rPr>
      </w:pPr>
      <w:r w:rsidRPr="00EC1B14">
        <w:rPr>
          <w:rFonts w:ascii="Arial" w:hAnsi="Arial" w:cs="Arial"/>
        </w:rPr>
        <w:t xml:space="preserve">In the context of banks operating in Kenya, </w:t>
      </w:r>
      <w:r w:rsidR="002151E5" w:rsidRPr="00EC1B14">
        <w:rPr>
          <w:rFonts w:ascii="Arial" w:hAnsi="Arial" w:cs="Arial"/>
        </w:rPr>
        <w:t>climate physical risks</w:t>
      </w:r>
      <w:r w:rsidRPr="00EC1B14">
        <w:rPr>
          <w:rFonts w:ascii="Arial" w:hAnsi="Arial" w:cs="Arial"/>
        </w:rPr>
        <w:t xml:space="preserve"> refer to the potential adverse impacts </w:t>
      </w:r>
      <w:r w:rsidR="00462ED9" w:rsidRPr="00EC1B14">
        <w:rPr>
          <w:rFonts w:ascii="Arial" w:hAnsi="Arial" w:cs="Arial"/>
        </w:rPr>
        <w:t>of</w:t>
      </w:r>
      <w:r w:rsidRPr="00EC1B14">
        <w:rPr>
          <w:rFonts w:ascii="Arial" w:hAnsi="Arial" w:cs="Arial"/>
        </w:rPr>
        <w:t xml:space="preserve"> climate-related events and environmental changes. These risks can manifest </w:t>
      </w:r>
      <w:r w:rsidR="00462ED9" w:rsidRPr="00EC1B14">
        <w:rPr>
          <w:rFonts w:ascii="Arial" w:hAnsi="Arial" w:cs="Arial"/>
        </w:rPr>
        <w:t>due to</w:t>
      </w:r>
      <w:r w:rsidRPr="00EC1B14">
        <w:rPr>
          <w:rFonts w:ascii="Arial" w:hAnsi="Arial" w:cs="Arial"/>
        </w:rPr>
        <w:t xml:space="preserve"> extreme weather events, rising temperatures, changes in precipitation patterns, and other climate-related occurrences. Such events can potentially affect the physical assets and operations of businesses, posing potential and, in many cases, actual risks to the financial stability of borrowers and lenders.</w:t>
      </w:r>
      <w:r w:rsidR="009A1B38" w:rsidRPr="00EC1B14">
        <w:rPr>
          <w:rFonts w:ascii="Arial" w:hAnsi="Arial" w:cs="Arial"/>
        </w:rPr>
        <w:t xml:space="preserve"> The table below describes </w:t>
      </w:r>
      <w:r w:rsidRPr="00EC1B14">
        <w:rPr>
          <w:rFonts w:ascii="Arial" w:hAnsi="Arial" w:cs="Arial"/>
        </w:rPr>
        <w:t xml:space="preserve">the </w:t>
      </w:r>
      <w:r w:rsidR="002151E5" w:rsidRPr="00EC1B14">
        <w:rPr>
          <w:rFonts w:ascii="Arial" w:hAnsi="Arial" w:cs="Arial"/>
        </w:rPr>
        <w:t>climate physical risks</w:t>
      </w:r>
      <w:r w:rsidR="00462ED9" w:rsidRPr="00EC1B14">
        <w:rPr>
          <w:rFonts w:ascii="Arial" w:hAnsi="Arial" w:cs="Arial"/>
        </w:rPr>
        <w:t xml:space="preserve"> of climate change, their broad definition, and their </w:t>
      </w:r>
      <w:r w:rsidRPr="00EC1B14">
        <w:rPr>
          <w:rFonts w:ascii="Arial" w:hAnsi="Arial" w:cs="Arial"/>
        </w:rPr>
        <w:t>significance.</w:t>
      </w:r>
      <w:r w:rsidR="003E35A7" w:rsidRPr="00EC1B14">
        <w:rPr>
          <w:rFonts w:ascii="Arial" w:hAnsi="Arial" w:cs="Arial"/>
        </w:rPr>
        <w:t xml:space="preserve"> </w:t>
      </w:r>
      <w:bookmarkStart w:id="18" w:name="_Toc157522245"/>
    </w:p>
    <w:p w14:paraId="4EB948CC" w14:textId="3A8050B6" w:rsidR="00E64C45" w:rsidRPr="00EC1B14" w:rsidRDefault="00545780" w:rsidP="00D25F24">
      <w:pPr>
        <w:spacing w:before="120" w:afterLines="120" w:after="288" w:line="240" w:lineRule="auto"/>
        <w:jc w:val="both"/>
        <w:rPr>
          <w:rFonts w:ascii="Arial" w:hAnsi="Arial" w:cs="Arial"/>
          <w:b/>
          <w:bCs/>
          <w:sz w:val="20"/>
        </w:rPr>
      </w:pPr>
      <w:bookmarkStart w:id="19" w:name="_Toc171907015"/>
      <w:r w:rsidRPr="00EC1B14">
        <w:rPr>
          <w:rFonts w:ascii="Arial" w:hAnsi="Arial" w:cs="Arial"/>
          <w:b/>
          <w:bCs/>
          <w:sz w:val="20"/>
          <w:szCs w:val="20"/>
        </w:rPr>
        <w:t xml:space="preserve">Table </w:t>
      </w:r>
      <w:r w:rsidRPr="00EC1B14">
        <w:rPr>
          <w:rFonts w:ascii="Arial" w:hAnsi="Arial" w:cs="Arial"/>
          <w:b/>
          <w:bCs/>
          <w:sz w:val="20"/>
          <w:szCs w:val="20"/>
        </w:rPr>
        <w:fldChar w:fldCharType="begin"/>
      </w:r>
      <w:r w:rsidRPr="00EC1B14">
        <w:rPr>
          <w:rFonts w:ascii="Arial" w:hAnsi="Arial" w:cs="Arial"/>
          <w:b/>
          <w:bCs/>
          <w:sz w:val="20"/>
          <w:szCs w:val="20"/>
        </w:rPr>
        <w:instrText xml:space="preserve"> SEQ Table \* ARABIC </w:instrText>
      </w:r>
      <w:r w:rsidRPr="00EC1B14">
        <w:rPr>
          <w:rFonts w:ascii="Arial" w:hAnsi="Arial" w:cs="Arial"/>
          <w:b/>
          <w:bCs/>
          <w:sz w:val="20"/>
          <w:szCs w:val="20"/>
        </w:rPr>
        <w:fldChar w:fldCharType="separate"/>
      </w:r>
      <w:r w:rsidR="00FD6222">
        <w:rPr>
          <w:rFonts w:ascii="Arial" w:hAnsi="Arial" w:cs="Arial"/>
          <w:b/>
          <w:bCs/>
          <w:noProof/>
          <w:sz w:val="20"/>
          <w:szCs w:val="20"/>
        </w:rPr>
        <w:t>1</w:t>
      </w:r>
      <w:r w:rsidRPr="00EC1B14">
        <w:rPr>
          <w:rFonts w:ascii="Arial" w:hAnsi="Arial" w:cs="Arial"/>
          <w:b/>
          <w:bCs/>
          <w:sz w:val="20"/>
          <w:szCs w:val="20"/>
        </w:rPr>
        <w:fldChar w:fldCharType="end"/>
      </w:r>
      <w:r w:rsidR="00E64C45" w:rsidRPr="00EC1B14">
        <w:rPr>
          <w:rFonts w:ascii="Arial" w:hAnsi="Arial" w:cs="Arial"/>
          <w:b/>
          <w:bCs/>
          <w:sz w:val="20"/>
        </w:rPr>
        <w:t>:</w:t>
      </w:r>
      <w:r w:rsidR="00EA6654" w:rsidRPr="00EC1B14">
        <w:rPr>
          <w:rFonts w:ascii="Arial" w:hAnsi="Arial" w:cs="Arial"/>
          <w:b/>
          <w:bCs/>
          <w:sz w:val="20"/>
        </w:rPr>
        <w:t xml:space="preserve"> </w:t>
      </w:r>
      <w:r w:rsidR="00E64C45" w:rsidRPr="00EC1B14">
        <w:rPr>
          <w:rFonts w:ascii="Arial" w:hAnsi="Arial" w:cs="Arial"/>
          <w:b/>
          <w:bCs/>
          <w:sz w:val="20"/>
        </w:rPr>
        <w:t>Priority physical climate risks for Kenya</w:t>
      </w:r>
      <w:bookmarkEnd w:id="18"/>
      <w:bookmarkEnd w:id="19"/>
      <w:r w:rsidR="00E64C45" w:rsidRPr="00EC1B14">
        <w:rPr>
          <w:rFonts w:ascii="Arial" w:hAnsi="Arial" w:cs="Arial"/>
          <w:b/>
          <w:bCs/>
          <w:sz w:val="20"/>
        </w:rPr>
        <w:t xml:space="preserve"> </w:t>
      </w:r>
    </w:p>
    <w:tbl>
      <w:tblPr>
        <w:tblStyle w:val="TableGrid"/>
        <w:tblW w:w="9195" w:type="dxa"/>
        <w:tblLook w:val="04A0" w:firstRow="1" w:lastRow="0" w:firstColumn="1" w:lastColumn="0" w:noHBand="0" w:noVBand="1"/>
      </w:tblPr>
      <w:tblGrid>
        <w:gridCol w:w="2078"/>
        <w:gridCol w:w="2930"/>
        <w:gridCol w:w="4187"/>
      </w:tblGrid>
      <w:tr w:rsidR="00207CD7" w:rsidRPr="00EC1B14" w14:paraId="31B3CD89" w14:textId="77777777" w:rsidTr="005E6259">
        <w:trPr>
          <w:tblHeader/>
        </w:trPr>
        <w:tc>
          <w:tcPr>
            <w:tcW w:w="0" w:type="auto"/>
            <w:shd w:val="clear" w:color="auto" w:fill="BFBFBF" w:themeFill="background1" w:themeFillShade="BF"/>
            <w:hideMark/>
          </w:tcPr>
          <w:p w14:paraId="68C67150" w14:textId="260523B5" w:rsidR="00207CD7" w:rsidRPr="00EC1B14" w:rsidRDefault="00207CD7" w:rsidP="00D25F24">
            <w:pPr>
              <w:pStyle w:val="NoSpacing"/>
              <w:jc w:val="center"/>
              <w:rPr>
                <w:rFonts w:ascii="Arial" w:hAnsi="Arial" w:cs="Arial"/>
                <w:b/>
                <w:bCs/>
                <w:sz w:val="20"/>
                <w:szCs w:val="20"/>
              </w:rPr>
            </w:pPr>
            <w:r w:rsidRPr="00EC1B14">
              <w:rPr>
                <w:rFonts w:ascii="Arial" w:hAnsi="Arial" w:cs="Arial"/>
                <w:b/>
                <w:bCs/>
                <w:sz w:val="20"/>
                <w:szCs w:val="20"/>
              </w:rPr>
              <w:t>Priority Physical Risks</w:t>
            </w:r>
          </w:p>
          <w:p w14:paraId="3EB8F57B" w14:textId="105D0CE0" w:rsidR="00647A6A" w:rsidRPr="00EC1B14" w:rsidRDefault="00647A6A" w:rsidP="00D25F24">
            <w:pPr>
              <w:pStyle w:val="NoSpacing"/>
              <w:jc w:val="center"/>
              <w:rPr>
                <w:rFonts w:ascii="Arial" w:hAnsi="Arial" w:cs="Arial"/>
                <w:b/>
                <w:bCs/>
                <w:sz w:val="20"/>
                <w:szCs w:val="20"/>
              </w:rPr>
            </w:pPr>
          </w:p>
        </w:tc>
        <w:tc>
          <w:tcPr>
            <w:tcW w:w="0" w:type="auto"/>
            <w:shd w:val="clear" w:color="auto" w:fill="BFBFBF" w:themeFill="background1" w:themeFillShade="BF"/>
            <w:hideMark/>
          </w:tcPr>
          <w:p w14:paraId="58AE451A" w14:textId="59DBC766" w:rsidR="00207CD7" w:rsidRPr="00EC1B14" w:rsidRDefault="00207CD7" w:rsidP="00D25F24">
            <w:pPr>
              <w:pStyle w:val="NoSpacing"/>
              <w:jc w:val="center"/>
              <w:rPr>
                <w:rFonts w:ascii="Arial" w:hAnsi="Arial" w:cs="Arial"/>
                <w:b/>
                <w:bCs/>
                <w:sz w:val="20"/>
                <w:szCs w:val="20"/>
              </w:rPr>
            </w:pPr>
            <w:r w:rsidRPr="00EC1B14">
              <w:rPr>
                <w:rFonts w:ascii="Arial" w:hAnsi="Arial" w:cs="Arial"/>
                <w:b/>
                <w:bCs/>
                <w:sz w:val="20"/>
                <w:szCs w:val="20"/>
              </w:rPr>
              <w:t>Definition</w:t>
            </w:r>
          </w:p>
        </w:tc>
        <w:tc>
          <w:tcPr>
            <w:tcW w:w="0" w:type="auto"/>
            <w:shd w:val="clear" w:color="auto" w:fill="BFBFBF" w:themeFill="background1" w:themeFillShade="BF"/>
            <w:hideMark/>
          </w:tcPr>
          <w:p w14:paraId="309DD2FC" w14:textId="2E37A0B6" w:rsidR="00207CD7" w:rsidRPr="00EC1B14" w:rsidRDefault="00207CD7" w:rsidP="00D25F24">
            <w:pPr>
              <w:pStyle w:val="NoSpacing"/>
              <w:jc w:val="center"/>
              <w:rPr>
                <w:rFonts w:ascii="Arial" w:hAnsi="Arial" w:cs="Arial"/>
                <w:b/>
                <w:bCs/>
                <w:sz w:val="20"/>
                <w:szCs w:val="20"/>
              </w:rPr>
            </w:pPr>
            <w:r w:rsidRPr="00EC1B14">
              <w:rPr>
                <w:rFonts w:ascii="Arial" w:hAnsi="Arial" w:cs="Arial"/>
                <w:b/>
                <w:bCs/>
                <w:sz w:val="20"/>
                <w:szCs w:val="20"/>
              </w:rPr>
              <w:t>Significance</w:t>
            </w:r>
          </w:p>
        </w:tc>
      </w:tr>
      <w:tr w:rsidR="00207CD7" w:rsidRPr="00EC1B14" w14:paraId="0D6ACD39" w14:textId="77777777" w:rsidTr="002D0F97">
        <w:tc>
          <w:tcPr>
            <w:tcW w:w="0" w:type="auto"/>
            <w:gridSpan w:val="3"/>
            <w:hideMark/>
          </w:tcPr>
          <w:p w14:paraId="1A41E7B9" w14:textId="77777777" w:rsidR="00295938" w:rsidRPr="00EC1B14" w:rsidRDefault="00295938" w:rsidP="00D25F24">
            <w:pPr>
              <w:pStyle w:val="NoSpacing"/>
              <w:rPr>
                <w:rFonts w:ascii="Arial" w:hAnsi="Arial" w:cs="Arial"/>
                <w:b/>
                <w:bCs/>
                <w:sz w:val="20"/>
                <w:szCs w:val="20"/>
              </w:rPr>
            </w:pPr>
          </w:p>
          <w:p w14:paraId="44370294" w14:textId="1AE6907E" w:rsidR="00295938" w:rsidRPr="00EC1B14" w:rsidRDefault="00207CD7" w:rsidP="00D25F24">
            <w:pPr>
              <w:pStyle w:val="NoSpacing"/>
              <w:rPr>
                <w:rFonts w:ascii="Arial" w:hAnsi="Arial" w:cs="Arial"/>
                <w:b/>
                <w:bCs/>
                <w:sz w:val="20"/>
                <w:szCs w:val="20"/>
              </w:rPr>
            </w:pPr>
            <w:r w:rsidRPr="00EC1B14">
              <w:rPr>
                <w:rFonts w:ascii="Arial" w:hAnsi="Arial" w:cs="Arial"/>
                <w:b/>
                <w:bCs/>
                <w:sz w:val="20"/>
                <w:szCs w:val="20"/>
              </w:rPr>
              <w:t>Acute Risks</w:t>
            </w:r>
          </w:p>
        </w:tc>
      </w:tr>
      <w:tr w:rsidR="00207CD7" w:rsidRPr="00EC1B14" w14:paraId="14A42183" w14:textId="77777777" w:rsidTr="002D0F97">
        <w:tc>
          <w:tcPr>
            <w:tcW w:w="0" w:type="auto"/>
            <w:hideMark/>
          </w:tcPr>
          <w:p w14:paraId="554FB4EF" w14:textId="06138CEA" w:rsidR="00207CD7" w:rsidRPr="00EC1B14" w:rsidRDefault="00207CD7" w:rsidP="00D25F24">
            <w:pPr>
              <w:pStyle w:val="NoSpacing"/>
              <w:rPr>
                <w:rFonts w:ascii="Arial" w:hAnsi="Arial" w:cs="Arial"/>
                <w:sz w:val="20"/>
                <w:szCs w:val="20"/>
              </w:rPr>
            </w:pPr>
            <w:r w:rsidRPr="00EC1B14">
              <w:rPr>
                <w:rFonts w:ascii="Arial" w:hAnsi="Arial" w:cs="Arial"/>
                <w:sz w:val="20"/>
                <w:szCs w:val="20"/>
              </w:rPr>
              <w:t>1. Flooding</w:t>
            </w:r>
          </w:p>
        </w:tc>
        <w:tc>
          <w:tcPr>
            <w:tcW w:w="0" w:type="auto"/>
            <w:hideMark/>
          </w:tcPr>
          <w:p w14:paraId="6DDD1BA0" w14:textId="3BCD7522" w:rsidR="00207CD7" w:rsidRPr="00EC1B14" w:rsidRDefault="00207CD7" w:rsidP="00D25F24">
            <w:pPr>
              <w:pStyle w:val="NoSpacing"/>
              <w:jc w:val="both"/>
              <w:rPr>
                <w:rFonts w:ascii="Arial" w:hAnsi="Arial" w:cs="Arial"/>
                <w:sz w:val="20"/>
                <w:szCs w:val="20"/>
              </w:rPr>
            </w:pPr>
            <w:r w:rsidRPr="00EC1B14">
              <w:rPr>
                <w:rFonts w:ascii="Arial" w:hAnsi="Arial" w:cs="Arial"/>
                <w:sz w:val="20"/>
                <w:szCs w:val="20"/>
              </w:rPr>
              <w:t>Overflow of water onto dry land, caused by heavy rainfall or river overflow.</w:t>
            </w:r>
          </w:p>
        </w:tc>
        <w:tc>
          <w:tcPr>
            <w:tcW w:w="0" w:type="auto"/>
            <w:hideMark/>
          </w:tcPr>
          <w:p w14:paraId="5679AB0E" w14:textId="5A7B8F51" w:rsidR="00647A6A" w:rsidRPr="00EC1B14" w:rsidRDefault="00207CD7" w:rsidP="00D25F24">
            <w:pPr>
              <w:pStyle w:val="NoSpacing"/>
              <w:jc w:val="both"/>
              <w:rPr>
                <w:rFonts w:ascii="Arial" w:hAnsi="Arial" w:cs="Arial"/>
                <w:sz w:val="20"/>
                <w:szCs w:val="20"/>
              </w:rPr>
            </w:pPr>
            <w:r w:rsidRPr="00EC1B14">
              <w:rPr>
                <w:rFonts w:ascii="Arial" w:hAnsi="Arial" w:cs="Arial"/>
                <w:sz w:val="20"/>
                <w:szCs w:val="20"/>
              </w:rPr>
              <w:t>Infrastructure, agriculture, and communities are threatened, particularly in regions prone to heavy rainfall.</w:t>
            </w:r>
          </w:p>
        </w:tc>
      </w:tr>
      <w:tr w:rsidR="00207CD7" w:rsidRPr="00EC1B14" w14:paraId="4C4F28CF" w14:textId="77777777" w:rsidTr="002D0F97">
        <w:tc>
          <w:tcPr>
            <w:tcW w:w="0" w:type="auto"/>
            <w:hideMark/>
          </w:tcPr>
          <w:p w14:paraId="77A667DE" w14:textId="51242314" w:rsidR="00207CD7" w:rsidRPr="00EC1B14" w:rsidRDefault="00207CD7" w:rsidP="00D25F24">
            <w:pPr>
              <w:pStyle w:val="NoSpacing"/>
              <w:rPr>
                <w:rFonts w:ascii="Arial" w:hAnsi="Arial" w:cs="Arial"/>
                <w:sz w:val="20"/>
                <w:szCs w:val="20"/>
              </w:rPr>
            </w:pPr>
            <w:r w:rsidRPr="00EC1B14">
              <w:rPr>
                <w:rFonts w:ascii="Arial" w:hAnsi="Arial" w:cs="Arial"/>
                <w:sz w:val="20"/>
                <w:szCs w:val="20"/>
              </w:rPr>
              <w:t>2. Drought</w:t>
            </w:r>
          </w:p>
        </w:tc>
        <w:tc>
          <w:tcPr>
            <w:tcW w:w="0" w:type="auto"/>
            <w:hideMark/>
          </w:tcPr>
          <w:p w14:paraId="45EBA237" w14:textId="0E13AB23" w:rsidR="00207CD7" w:rsidRPr="00EC1B14" w:rsidRDefault="00207CD7" w:rsidP="00D25F24">
            <w:pPr>
              <w:pStyle w:val="NoSpacing"/>
              <w:jc w:val="both"/>
              <w:rPr>
                <w:rFonts w:ascii="Arial" w:hAnsi="Arial" w:cs="Arial"/>
                <w:sz w:val="20"/>
                <w:szCs w:val="20"/>
              </w:rPr>
            </w:pPr>
            <w:r w:rsidRPr="00EC1B14">
              <w:rPr>
                <w:rFonts w:ascii="Arial" w:hAnsi="Arial" w:cs="Arial"/>
                <w:sz w:val="20"/>
                <w:szCs w:val="20"/>
              </w:rPr>
              <w:t xml:space="preserve">Extended periods of deficient rainfall </w:t>
            </w:r>
            <w:r w:rsidR="00647A6A" w:rsidRPr="00EC1B14">
              <w:rPr>
                <w:rFonts w:ascii="Arial" w:hAnsi="Arial" w:cs="Arial"/>
                <w:sz w:val="20"/>
                <w:szCs w:val="20"/>
              </w:rPr>
              <w:t>lead</w:t>
            </w:r>
            <w:r w:rsidRPr="00EC1B14">
              <w:rPr>
                <w:rFonts w:ascii="Arial" w:hAnsi="Arial" w:cs="Arial"/>
                <w:sz w:val="20"/>
                <w:szCs w:val="20"/>
              </w:rPr>
              <w:t xml:space="preserve"> to water shortages and impact ecosystems and agriculture.</w:t>
            </w:r>
          </w:p>
        </w:tc>
        <w:tc>
          <w:tcPr>
            <w:tcW w:w="0" w:type="auto"/>
            <w:hideMark/>
          </w:tcPr>
          <w:p w14:paraId="7BBAE77A" w14:textId="5135FBBA" w:rsidR="00647A6A" w:rsidRPr="00EC1B14" w:rsidRDefault="00207CD7" w:rsidP="00D25F24">
            <w:pPr>
              <w:pStyle w:val="NoSpacing"/>
              <w:jc w:val="both"/>
              <w:rPr>
                <w:rFonts w:ascii="Arial" w:hAnsi="Arial" w:cs="Arial"/>
                <w:sz w:val="20"/>
                <w:szCs w:val="20"/>
              </w:rPr>
            </w:pPr>
            <w:r w:rsidRPr="00EC1B14">
              <w:rPr>
                <w:rFonts w:ascii="Arial" w:hAnsi="Arial" w:cs="Arial"/>
                <w:sz w:val="20"/>
                <w:szCs w:val="20"/>
              </w:rPr>
              <w:t>It affects water availability and agriculture, leading to food and water security challenges, especially in arid and semi-arid regions.</w:t>
            </w:r>
          </w:p>
        </w:tc>
      </w:tr>
      <w:tr w:rsidR="00207CD7" w:rsidRPr="00EC1B14" w14:paraId="5A9FFB54" w14:textId="77777777" w:rsidTr="002D0F97">
        <w:tc>
          <w:tcPr>
            <w:tcW w:w="0" w:type="auto"/>
            <w:hideMark/>
          </w:tcPr>
          <w:p w14:paraId="13DD5FD9" w14:textId="7DD5AC7E" w:rsidR="00207CD7" w:rsidRPr="00EC1B14" w:rsidRDefault="00207CD7" w:rsidP="00D25F24">
            <w:pPr>
              <w:pStyle w:val="NoSpacing"/>
              <w:rPr>
                <w:rFonts w:ascii="Arial" w:hAnsi="Arial" w:cs="Arial"/>
                <w:sz w:val="20"/>
                <w:szCs w:val="20"/>
              </w:rPr>
            </w:pPr>
            <w:r w:rsidRPr="00EC1B14">
              <w:rPr>
                <w:rFonts w:ascii="Arial" w:hAnsi="Arial" w:cs="Arial"/>
                <w:sz w:val="20"/>
                <w:szCs w:val="20"/>
              </w:rPr>
              <w:t>3. Temperature Extremes (Heatwaves and Cold Spells)</w:t>
            </w:r>
          </w:p>
        </w:tc>
        <w:tc>
          <w:tcPr>
            <w:tcW w:w="0" w:type="auto"/>
            <w:hideMark/>
          </w:tcPr>
          <w:p w14:paraId="2EB2C8B9" w14:textId="11C4D361" w:rsidR="00207CD7" w:rsidRPr="00EC1B14" w:rsidRDefault="00207CD7" w:rsidP="00D25F24">
            <w:pPr>
              <w:pStyle w:val="NoSpacing"/>
              <w:jc w:val="both"/>
              <w:rPr>
                <w:rFonts w:ascii="Arial" w:hAnsi="Arial" w:cs="Arial"/>
                <w:sz w:val="20"/>
                <w:szCs w:val="20"/>
              </w:rPr>
            </w:pPr>
            <w:r w:rsidRPr="00EC1B14">
              <w:rPr>
                <w:rFonts w:ascii="Arial" w:hAnsi="Arial" w:cs="Arial"/>
                <w:sz w:val="20"/>
                <w:szCs w:val="20"/>
              </w:rPr>
              <w:t>Prolonged periods of unusually high or low temperatures compared to historical averages.</w:t>
            </w:r>
          </w:p>
        </w:tc>
        <w:tc>
          <w:tcPr>
            <w:tcW w:w="0" w:type="auto"/>
            <w:hideMark/>
          </w:tcPr>
          <w:p w14:paraId="1BCB2039" w14:textId="1F06FE97" w:rsidR="00647A6A" w:rsidRPr="00EC1B14" w:rsidRDefault="00207CD7" w:rsidP="00D25F24">
            <w:pPr>
              <w:pStyle w:val="NoSpacing"/>
              <w:jc w:val="both"/>
              <w:rPr>
                <w:rFonts w:ascii="Arial" w:hAnsi="Arial" w:cs="Arial"/>
                <w:sz w:val="20"/>
                <w:szCs w:val="20"/>
              </w:rPr>
            </w:pPr>
            <w:r w:rsidRPr="00EC1B14">
              <w:rPr>
                <w:rFonts w:ascii="Arial" w:hAnsi="Arial" w:cs="Arial"/>
                <w:sz w:val="20"/>
                <w:szCs w:val="20"/>
              </w:rPr>
              <w:t>Impacts agricultural productivity, water availability, and human health. Cold spells (desert / arid regions) can also affect crops and livestock.</w:t>
            </w:r>
          </w:p>
        </w:tc>
      </w:tr>
      <w:tr w:rsidR="00207CD7" w:rsidRPr="00EC1B14" w14:paraId="4704DE9C" w14:textId="77777777" w:rsidTr="002D0F97">
        <w:tc>
          <w:tcPr>
            <w:tcW w:w="0" w:type="auto"/>
            <w:hideMark/>
          </w:tcPr>
          <w:p w14:paraId="4679B070" w14:textId="4866BC21" w:rsidR="00207CD7" w:rsidRPr="00EC1B14" w:rsidRDefault="00207CD7" w:rsidP="00D25F24">
            <w:pPr>
              <w:pStyle w:val="NoSpacing"/>
              <w:rPr>
                <w:rFonts w:ascii="Arial" w:hAnsi="Arial" w:cs="Arial"/>
                <w:sz w:val="20"/>
                <w:szCs w:val="20"/>
              </w:rPr>
            </w:pPr>
            <w:r w:rsidRPr="00EC1B14">
              <w:rPr>
                <w:rFonts w:ascii="Arial" w:hAnsi="Arial" w:cs="Arial"/>
                <w:sz w:val="20"/>
                <w:szCs w:val="20"/>
              </w:rPr>
              <w:t>4. Storms and Cyclones</w:t>
            </w:r>
          </w:p>
        </w:tc>
        <w:tc>
          <w:tcPr>
            <w:tcW w:w="0" w:type="auto"/>
            <w:hideMark/>
          </w:tcPr>
          <w:p w14:paraId="45729A3E" w14:textId="0A045426" w:rsidR="00207CD7" w:rsidRPr="00EC1B14" w:rsidRDefault="00207CD7" w:rsidP="00D25F24">
            <w:pPr>
              <w:pStyle w:val="NoSpacing"/>
              <w:jc w:val="both"/>
              <w:rPr>
                <w:rFonts w:ascii="Arial" w:hAnsi="Arial" w:cs="Arial"/>
                <w:sz w:val="20"/>
                <w:szCs w:val="20"/>
              </w:rPr>
            </w:pPr>
            <w:r w:rsidRPr="00EC1B14">
              <w:rPr>
                <w:rFonts w:ascii="Arial" w:hAnsi="Arial" w:cs="Arial"/>
                <w:sz w:val="20"/>
                <w:szCs w:val="20"/>
              </w:rPr>
              <w:t>Powerful wind systems are accompanied by heavy rainfall and storm surges.</w:t>
            </w:r>
          </w:p>
        </w:tc>
        <w:tc>
          <w:tcPr>
            <w:tcW w:w="0" w:type="auto"/>
            <w:hideMark/>
          </w:tcPr>
          <w:p w14:paraId="58942965" w14:textId="3685F082" w:rsidR="00647A6A" w:rsidRPr="00EC1B14" w:rsidRDefault="00207CD7" w:rsidP="00D25F24">
            <w:pPr>
              <w:pStyle w:val="NoSpacing"/>
              <w:jc w:val="both"/>
              <w:rPr>
                <w:rFonts w:ascii="Arial" w:hAnsi="Arial" w:cs="Arial"/>
                <w:sz w:val="20"/>
                <w:szCs w:val="20"/>
              </w:rPr>
            </w:pPr>
            <w:r w:rsidRPr="00EC1B14">
              <w:rPr>
                <w:rFonts w:ascii="Arial" w:hAnsi="Arial" w:cs="Arial"/>
                <w:sz w:val="20"/>
                <w:szCs w:val="20"/>
              </w:rPr>
              <w:t>Coastal areas are susceptible, posing risks to infrastructure and coastal communities and leading to widespread damage.</w:t>
            </w:r>
            <w:r w:rsidR="003A644B" w:rsidRPr="00EC1B14">
              <w:rPr>
                <w:rFonts w:ascii="Arial" w:hAnsi="Arial" w:cs="Arial"/>
                <w:sz w:val="20"/>
                <w:szCs w:val="20"/>
              </w:rPr>
              <w:t xml:space="preserve"> Flash floods </w:t>
            </w:r>
            <w:r w:rsidR="00C65D7F" w:rsidRPr="00EC1B14">
              <w:rPr>
                <w:rFonts w:ascii="Arial" w:hAnsi="Arial" w:cs="Arial"/>
                <w:sz w:val="20"/>
                <w:szCs w:val="20"/>
              </w:rPr>
              <w:t>are associated with heavy rainfall</w:t>
            </w:r>
            <w:r w:rsidR="003A644B" w:rsidRPr="00EC1B14">
              <w:rPr>
                <w:rFonts w:ascii="Arial" w:hAnsi="Arial" w:cs="Arial"/>
                <w:sz w:val="20"/>
                <w:szCs w:val="20"/>
              </w:rPr>
              <w:t>.</w:t>
            </w:r>
          </w:p>
        </w:tc>
      </w:tr>
      <w:tr w:rsidR="00207CD7" w:rsidRPr="00EC1B14" w14:paraId="6787B1AC" w14:textId="77777777" w:rsidTr="002D0F97">
        <w:tc>
          <w:tcPr>
            <w:tcW w:w="0" w:type="auto"/>
          </w:tcPr>
          <w:p w14:paraId="6F5EB841" w14:textId="5FCFCBF7" w:rsidR="00207CD7" w:rsidRPr="00EC1B14" w:rsidRDefault="00207CD7" w:rsidP="00D25F24">
            <w:pPr>
              <w:pStyle w:val="NoSpacing"/>
              <w:rPr>
                <w:rFonts w:ascii="Arial" w:hAnsi="Arial" w:cs="Arial"/>
                <w:sz w:val="20"/>
                <w:szCs w:val="20"/>
              </w:rPr>
            </w:pPr>
            <w:r w:rsidRPr="00EC1B14">
              <w:rPr>
                <w:rFonts w:ascii="Arial" w:hAnsi="Arial" w:cs="Arial"/>
                <w:sz w:val="20"/>
                <w:szCs w:val="20"/>
              </w:rPr>
              <w:t>5. Wildfires</w:t>
            </w:r>
          </w:p>
        </w:tc>
        <w:tc>
          <w:tcPr>
            <w:tcW w:w="0" w:type="auto"/>
          </w:tcPr>
          <w:p w14:paraId="1FCF9299" w14:textId="41D0AE8D" w:rsidR="00207CD7" w:rsidRPr="00EC1B14" w:rsidRDefault="00207CD7" w:rsidP="00D25F24">
            <w:pPr>
              <w:pStyle w:val="NoSpacing"/>
              <w:jc w:val="both"/>
              <w:rPr>
                <w:rFonts w:ascii="Arial" w:hAnsi="Arial" w:cs="Arial"/>
                <w:sz w:val="20"/>
                <w:szCs w:val="20"/>
              </w:rPr>
            </w:pPr>
            <w:r w:rsidRPr="00EC1B14">
              <w:rPr>
                <w:rFonts w:ascii="Arial" w:hAnsi="Arial" w:cs="Arial"/>
                <w:sz w:val="20"/>
                <w:szCs w:val="20"/>
              </w:rPr>
              <w:t>Uncontrolled fires spreading rapidly across vegetation.</w:t>
            </w:r>
          </w:p>
        </w:tc>
        <w:tc>
          <w:tcPr>
            <w:tcW w:w="0" w:type="auto"/>
          </w:tcPr>
          <w:p w14:paraId="38A51364" w14:textId="77777777" w:rsidR="00B2197C" w:rsidRPr="00EC1B14" w:rsidRDefault="00207CD7" w:rsidP="00D25F24">
            <w:pPr>
              <w:pStyle w:val="NoSpacing"/>
              <w:jc w:val="both"/>
              <w:rPr>
                <w:rFonts w:ascii="Arial" w:hAnsi="Arial" w:cs="Arial"/>
                <w:sz w:val="20"/>
                <w:szCs w:val="20"/>
              </w:rPr>
            </w:pPr>
            <w:r w:rsidRPr="00EC1B14">
              <w:rPr>
                <w:rFonts w:ascii="Arial" w:hAnsi="Arial" w:cs="Arial"/>
                <w:sz w:val="20"/>
                <w:szCs w:val="20"/>
              </w:rPr>
              <w:t>Increased temperatures and changing precipitation patterns contribute to the risk of impacting ecosystems, biodiversity, and property.</w:t>
            </w:r>
          </w:p>
          <w:p w14:paraId="7937AA28" w14:textId="4097FBF4" w:rsidR="005E6259" w:rsidRPr="00EC1B14" w:rsidRDefault="005E6259" w:rsidP="00D25F24">
            <w:pPr>
              <w:pStyle w:val="NoSpacing"/>
              <w:jc w:val="both"/>
              <w:rPr>
                <w:rFonts w:ascii="Arial" w:hAnsi="Arial" w:cs="Arial"/>
                <w:sz w:val="20"/>
                <w:szCs w:val="20"/>
              </w:rPr>
            </w:pPr>
          </w:p>
        </w:tc>
      </w:tr>
      <w:tr w:rsidR="00207CD7" w:rsidRPr="00EC1B14" w14:paraId="42B977A8" w14:textId="77777777" w:rsidTr="002D0F97">
        <w:tc>
          <w:tcPr>
            <w:tcW w:w="0" w:type="auto"/>
            <w:gridSpan w:val="3"/>
          </w:tcPr>
          <w:p w14:paraId="1A301C46" w14:textId="623C1690" w:rsidR="00207CD7" w:rsidRPr="00EC1B14" w:rsidRDefault="00207CD7" w:rsidP="00D25F24">
            <w:pPr>
              <w:pStyle w:val="NoSpacing"/>
              <w:spacing w:before="60" w:after="60"/>
              <w:rPr>
                <w:rFonts w:ascii="Arial" w:hAnsi="Arial" w:cs="Arial"/>
                <w:sz w:val="20"/>
                <w:szCs w:val="20"/>
              </w:rPr>
            </w:pPr>
            <w:r w:rsidRPr="00EC1B14">
              <w:rPr>
                <w:rFonts w:ascii="Arial" w:hAnsi="Arial" w:cs="Arial"/>
                <w:b/>
                <w:bCs/>
                <w:sz w:val="20"/>
                <w:szCs w:val="20"/>
              </w:rPr>
              <w:t>Chronic Risks</w:t>
            </w:r>
          </w:p>
        </w:tc>
      </w:tr>
      <w:tr w:rsidR="00207CD7" w:rsidRPr="00EC1B14" w14:paraId="51645633" w14:textId="77777777" w:rsidTr="002D0F97">
        <w:tc>
          <w:tcPr>
            <w:tcW w:w="0" w:type="auto"/>
          </w:tcPr>
          <w:p w14:paraId="3D56D6D6" w14:textId="327A4A9B" w:rsidR="00207CD7" w:rsidRPr="00EC1B14" w:rsidRDefault="00207CD7" w:rsidP="00D25F24">
            <w:pPr>
              <w:pStyle w:val="NoSpacing"/>
              <w:spacing w:before="60" w:after="60"/>
              <w:rPr>
                <w:rFonts w:ascii="Arial" w:hAnsi="Arial" w:cs="Arial"/>
                <w:sz w:val="20"/>
                <w:szCs w:val="20"/>
              </w:rPr>
            </w:pPr>
            <w:r w:rsidRPr="00EC1B14">
              <w:rPr>
                <w:rFonts w:ascii="Arial" w:hAnsi="Arial" w:cs="Arial"/>
                <w:sz w:val="20"/>
                <w:szCs w:val="20"/>
              </w:rPr>
              <w:t>6. Land Degradation</w:t>
            </w:r>
          </w:p>
        </w:tc>
        <w:tc>
          <w:tcPr>
            <w:tcW w:w="0" w:type="auto"/>
          </w:tcPr>
          <w:p w14:paraId="477CA563" w14:textId="188CF21B" w:rsidR="00207CD7" w:rsidRPr="00EC1B14" w:rsidRDefault="00207CD7" w:rsidP="00D25F24">
            <w:pPr>
              <w:pStyle w:val="NoSpacing"/>
              <w:spacing w:before="60" w:after="60"/>
              <w:jc w:val="both"/>
              <w:rPr>
                <w:rFonts w:ascii="Arial" w:hAnsi="Arial" w:cs="Arial"/>
                <w:sz w:val="20"/>
                <w:szCs w:val="20"/>
              </w:rPr>
            </w:pPr>
            <w:r w:rsidRPr="00EC1B14">
              <w:rPr>
                <w:rFonts w:ascii="Arial" w:hAnsi="Arial" w:cs="Arial"/>
                <w:sz w:val="20"/>
                <w:szCs w:val="20"/>
              </w:rPr>
              <w:t>Deterioration of land quality due to factors like deforestation and poor agricultural practices.</w:t>
            </w:r>
          </w:p>
        </w:tc>
        <w:tc>
          <w:tcPr>
            <w:tcW w:w="0" w:type="auto"/>
          </w:tcPr>
          <w:p w14:paraId="13E19D83" w14:textId="51BBC71E" w:rsidR="00647A6A" w:rsidRPr="00EC1B14" w:rsidRDefault="00207CD7" w:rsidP="00D25F24">
            <w:pPr>
              <w:pStyle w:val="NoSpacing"/>
              <w:spacing w:before="60" w:after="60"/>
              <w:jc w:val="both"/>
              <w:rPr>
                <w:rFonts w:ascii="Arial" w:hAnsi="Arial" w:cs="Arial"/>
                <w:sz w:val="20"/>
                <w:szCs w:val="20"/>
              </w:rPr>
            </w:pPr>
            <w:r w:rsidRPr="00EC1B14">
              <w:rPr>
                <w:rFonts w:ascii="Arial" w:hAnsi="Arial" w:cs="Arial"/>
                <w:sz w:val="20"/>
                <w:szCs w:val="20"/>
              </w:rPr>
              <w:t>Threatens soil fertility, reduces agricultural productivity, and contributes to desertification, impacting livelihoods and food security.</w:t>
            </w:r>
          </w:p>
        </w:tc>
      </w:tr>
      <w:tr w:rsidR="00207CD7" w:rsidRPr="00EC1B14" w14:paraId="784536DF" w14:textId="77777777" w:rsidTr="007874A4">
        <w:trPr>
          <w:trHeight w:val="557"/>
        </w:trPr>
        <w:tc>
          <w:tcPr>
            <w:tcW w:w="0" w:type="auto"/>
          </w:tcPr>
          <w:p w14:paraId="1FC59BD6" w14:textId="4FBB889D" w:rsidR="00207CD7" w:rsidRPr="00EC1B14" w:rsidRDefault="00207CD7" w:rsidP="00D25F24">
            <w:pPr>
              <w:pStyle w:val="NoSpacing"/>
              <w:spacing w:before="60" w:after="60"/>
              <w:rPr>
                <w:rFonts w:ascii="Arial" w:hAnsi="Arial" w:cs="Arial"/>
                <w:sz w:val="20"/>
                <w:szCs w:val="20"/>
              </w:rPr>
            </w:pPr>
            <w:r w:rsidRPr="00EC1B14">
              <w:rPr>
                <w:rFonts w:ascii="Arial" w:hAnsi="Arial" w:cs="Arial"/>
                <w:sz w:val="20"/>
                <w:szCs w:val="20"/>
              </w:rPr>
              <w:t>7. Vector-Borne Diseases (e.g., Malaria)</w:t>
            </w:r>
          </w:p>
        </w:tc>
        <w:tc>
          <w:tcPr>
            <w:tcW w:w="0" w:type="auto"/>
          </w:tcPr>
          <w:p w14:paraId="7AF81590" w14:textId="6874CF77" w:rsidR="00207CD7" w:rsidRPr="00EC1B14" w:rsidRDefault="00207CD7" w:rsidP="00D25F24">
            <w:pPr>
              <w:pStyle w:val="NoSpacing"/>
              <w:spacing w:before="60" w:after="60"/>
              <w:jc w:val="both"/>
              <w:rPr>
                <w:rFonts w:ascii="Arial" w:hAnsi="Arial" w:cs="Arial"/>
                <w:sz w:val="20"/>
                <w:szCs w:val="20"/>
              </w:rPr>
            </w:pPr>
            <w:r w:rsidRPr="00EC1B14">
              <w:rPr>
                <w:rFonts w:ascii="Arial" w:hAnsi="Arial" w:cs="Arial"/>
                <w:sz w:val="20"/>
                <w:szCs w:val="20"/>
              </w:rPr>
              <w:t>Climate factors influence diseases transmitted by vectors like mosquitoes.</w:t>
            </w:r>
          </w:p>
        </w:tc>
        <w:tc>
          <w:tcPr>
            <w:tcW w:w="0" w:type="auto"/>
          </w:tcPr>
          <w:p w14:paraId="1A6037B1" w14:textId="29022114" w:rsidR="00647A6A" w:rsidRPr="00EC1B14" w:rsidRDefault="00207CD7" w:rsidP="00D25F24">
            <w:pPr>
              <w:pStyle w:val="NoSpacing"/>
              <w:spacing w:before="60" w:after="60"/>
              <w:jc w:val="both"/>
              <w:rPr>
                <w:rFonts w:ascii="Arial" w:hAnsi="Arial" w:cs="Arial"/>
                <w:sz w:val="20"/>
                <w:szCs w:val="20"/>
              </w:rPr>
            </w:pPr>
            <w:r w:rsidRPr="00EC1B14">
              <w:rPr>
                <w:rFonts w:ascii="Arial" w:hAnsi="Arial" w:cs="Arial"/>
                <w:sz w:val="20"/>
                <w:szCs w:val="20"/>
              </w:rPr>
              <w:t>Climate changes affect the prevalence and spread of diseases, impacting public health.</w:t>
            </w:r>
          </w:p>
        </w:tc>
      </w:tr>
      <w:tr w:rsidR="00207CD7" w:rsidRPr="00EC1B14" w14:paraId="0A30C449" w14:textId="77777777" w:rsidTr="007874A4">
        <w:trPr>
          <w:trHeight w:val="871"/>
        </w:trPr>
        <w:tc>
          <w:tcPr>
            <w:tcW w:w="0" w:type="auto"/>
          </w:tcPr>
          <w:p w14:paraId="6394D846" w14:textId="39280B21" w:rsidR="00207CD7" w:rsidRPr="00EC1B14" w:rsidRDefault="00207CD7" w:rsidP="00D25F24">
            <w:pPr>
              <w:pStyle w:val="NoSpacing"/>
              <w:spacing w:before="60" w:after="60"/>
              <w:rPr>
                <w:rFonts w:ascii="Arial" w:hAnsi="Arial" w:cs="Arial"/>
                <w:sz w:val="20"/>
                <w:szCs w:val="20"/>
              </w:rPr>
            </w:pPr>
            <w:r w:rsidRPr="00EC1B14">
              <w:rPr>
                <w:rFonts w:ascii="Arial" w:hAnsi="Arial" w:cs="Arial"/>
                <w:sz w:val="20"/>
                <w:szCs w:val="20"/>
              </w:rPr>
              <w:t>8. Sea-Level Rise</w:t>
            </w:r>
          </w:p>
        </w:tc>
        <w:tc>
          <w:tcPr>
            <w:tcW w:w="0" w:type="auto"/>
          </w:tcPr>
          <w:p w14:paraId="6039E718" w14:textId="503FB9D1" w:rsidR="00207CD7" w:rsidRPr="00EC1B14" w:rsidRDefault="00207CD7" w:rsidP="00D25F24">
            <w:pPr>
              <w:pStyle w:val="NoSpacing"/>
              <w:spacing w:before="60" w:after="60"/>
              <w:jc w:val="both"/>
              <w:rPr>
                <w:rFonts w:ascii="Arial" w:hAnsi="Arial" w:cs="Arial"/>
                <w:sz w:val="20"/>
                <w:szCs w:val="20"/>
              </w:rPr>
            </w:pPr>
            <w:r w:rsidRPr="00EC1B14">
              <w:rPr>
                <w:rFonts w:ascii="Arial" w:hAnsi="Arial" w:cs="Arial"/>
                <w:sz w:val="20"/>
                <w:szCs w:val="20"/>
              </w:rPr>
              <w:t>Increase in the average level of oceans due to melting glaciers and polar ice caps.</w:t>
            </w:r>
          </w:p>
        </w:tc>
        <w:tc>
          <w:tcPr>
            <w:tcW w:w="0" w:type="auto"/>
          </w:tcPr>
          <w:p w14:paraId="2863729D" w14:textId="7DF1316D" w:rsidR="00647A6A" w:rsidRPr="00EC1B14" w:rsidRDefault="00207CD7" w:rsidP="00D25F24">
            <w:pPr>
              <w:pStyle w:val="NoSpacing"/>
              <w:spacing w:before="60" w:after="60"/>
              <w:jc w:val="both"/>
              <w:rPr>
                <w:rFonts w:ascii="Arial" w:hAnsi="Arial" w:cs="Arial"/>
                <w:sz w:val="20"/>
                <w:szCs w:val="20"/>
              </w:rPr>
            </w:pPr>
            <w:r w:rsidRPr="00EC1B14">
              <w:rPr>
                <w:rFonts w:ascii="Arial" w:hAnsi="Arial" w:cs="Arial"/>
                <w:sz w:val="20"/>
                <w:szCs w:val="20"/>
              </w:rPr>
              <w:t>Coastal areas face risks of saltwater intrusion, erosion, and threats to infrastructure, agriculture, and communities.</w:t>
            </w:r>
          </w:p>
        </w:tc>
      </w:tr>
    </w:tbl>
    <w:p w14:paraId="71D64A31" w14:textId="2BD2B559" w:rsidR="008234EF" w:rsidRPr="00EC1B14" w:rsidRDefault="008234EF" w:rsidP="00D25F24">
      <w:pPr>
        <w:spacing w:before="120" w:afterLines="120" w:after="288" w:line="240" w:lineRule="auto"/>
        <w:jc w:val="both"/>
        <w:rPr>
          <w:rFonts w:ascii="Arial" w:hAnsi="Arial" w:cs="Arial"/>
          <w:sz w:val="20"/>
          <w:szCs w:val="20"/>
        </w:rPr>
      </w:pPr>
      <w:r w:rsidRPr="00EC1B14">
        <w:rPr>
          <w:rFonts w:ascii="Arial" w:hAnsi="Arial" w:cs="Arial"/>
          <w:b/>
          <w:bCs/>
          <w:sz w:val="20"/>
          <w:szCs w:val="20"/>
        </w:rPr>
        <w:t>Source</w:t>
      </w:r>
      <w:r w:rsidRPr="00EC1B14">
        <w:rPr>
          <w:rFonts w:ascii="Arial" w:hAnsi="Arial" w:cs="Arial"/>
          <w:sz w:val="20"/>
          <w:szCs w:val="20"/>
        </w:rPr>
        <w:t xml:space="preserve">: Adapted from World Bank. 2021. Climate Risk Country Profile Kenya. </w:t>
      </w:r>
    </w:p>
    <w:p w14:paraId="0107A0EA" w14:textId="7919E795" w:rsidR="00E64C45" w:rsidRPr="00EC1B14" w:rsidRDefault="00E64C45" w:rsidP="00D25F24">
      <w:pPr>
        <w:spacing w:before="120" w:afterLines="120" w:after="288" w:line="240" w:lineRule="auto"/>
        <w:jc w:val="both"/>
        <w:rPr>
          <w:rFonts w:ascii="Arial" w:hAnsi="Arial" w:cs="Arial"/>
        </w:rPr>
      </w:pPr>
      <w:r w:rsidRPr="00EC1B14">
        <w:rPr>
          <w:rFonts w:ascii="Arial" w:hAnsi="Arial" w:cs="Arial"/>
        </w:rPr>
        <w:t xml:space="preserve">Understanding and prioritising these </w:t>
      </w:r>
      <w:r w:rsidR="002151E5" w:rsidRPr="00EC1B14">
        <w:rPr>
          <w:rFonts w:ascii="Arial" w:hAnsi="Arial" w:cs="Arial"/>
        </w:rPr>
        <w:t>climate physical risks</w:t>
      </w:r>
      <w:r w:rsidRPr="00EC1B14">
        <w:rPr>
          <w:rFonts w:ascii="Arial" w:hAnsi="Arial" w:cs="Arial"/>
        </w:rPr>
        <w:t xml:space="preserve"> is essential for developing effective climate resilience </w:t>
      </w:r>
      <w:r w:rsidR="001137F7" w:rsidRPr="00EC1B14">
        <w:rPr>
          <w:rFonts w:ascii="Arial" w:hAnsi="Arial" w:cs="Arial"/>
        </w:rPr>
        <w:t>strategies.</w:t>
      </w:r>
      <w:r w:rsidRPr="00EC1B14">
        <w:rPr>
          <w:rFonts w:ascii="Arial" w:hAnsi="Arial" w:cs="Arial"/>
        </w:rPr>
        <w:t xml:space="preserve"> </w:t>
      </w:r>
      <w:r w:rsidR="0066484D" w:rsidRPr="00EC1B14">
        <w:rPr>
          <w:rFonts w:ascii="Arial" w:hAnsi="Arial" w:cs="Arial"/>
        </w:rPr>
        <w:t>Based on the extreme weather events experienced in Kenya between 1900 and 2020</w:t>
      </w:r>
      <w:r w:rsidR="003E35A7" w:rsidRPr="00EC1B14">
        <w:rPr>
          <w:rFonts w:ascii="Arial" w:hAnsi="Arial" w:cs="Arial"/>
        </w:rPr>
        <w:t xml:space="preserve">, </w:t>
      </w:r>
      <w:r w:rsidR="0066484D" w:rsidRPr="00EC1B14">
        <w:rPr>
          <w:rFonts w:ascii="Arial" w:hAnsi="Arial" w:cs="Arial"/>
        </w:rPr>
        <w:t>droughts</w:t>
      </w:r>
      <w:r w:rsidR="00207CD7" w:rsidRPr="00EC1B14">
        <w:rPr>
          <w:rFonts w:ascii="Arial" w:hAnsi="Arial" w:cs="Arial"/>
        </w:rPr>
        <w:t xml:space="preserve"> and </w:t>
      </w:r>
      <w:r w:rsidR="0066484D" w:rsidRPr="00EC1B14">
        <w:rPr>
          <w:rFonts w:ascii="Arial" w:hAnsi="Arial" w:cs="Arial"/>
        </w:rPr>
        <w:t xml:space="preserve">floods are the top climate-related impacts. </w:t>
      </w:r>
      <w:r w:rsidRPr="00EC1B14">
        <w:rPr>
          <w:rFonts w:ascii="Arial" w:hAnsi="Arial" w:cs="Arial"/>
        </w:rPr>
        <w:t xml:space="preserve">Below is a table showing the prioritisation of </w:t>
      </w:r>
      <w:r w:rsidR="00C459A6" w:rsidRPr="00EC1B14">
        <w:rPr>
          <w:rFonts w:ascii="Arial" w:hAnsi="Arial" w:cs="Arial"/>
        </w:rPr>
        <w:t>critical</w:t>
      </w:r>
      <w:r w:rsidRPr="00EC1B14">
        <w:rPr>
          <w:rFonts w:ascii="Arial" w:hAnsi="Arial" w:cs="Arial"/>
        </w:rPr>
        <w:t xml:space="preserve"> physical climate risks and the rationale behind the priority level assigned. </w:t>
      </w:r>
    </w:p>
    <w:p w14:paraId="1CB4E4B6" w14:textId="74AD6330" w:rsidR="00E64C45" w:rsidRPr="00EC1B14" w:rsidRDefault="00E64C45" w:rsidP="00D25F24">
      <w:pPr>
        <w:pStyle w:val="Caption"/>
        <w:spacing w:before="120" w:afterLines="120" w:after="288"/>
        <w:rPr>
          <w:rFonts w:ascii="Arial" w:hAnsi="Arial" w:cs="Arial"/>
          <w:b/>
          <w:bCs/>
          <w:i w:val="0"/>
          <w:color w:val="auto"/>
          <w:sz w:val="20"/>
        </w:rPr>
      </w:pPr>
      <w:bookmarkStart w:id="20" w:name="_Toc157522246"/>
      <w:bookmarkStart w:id="21" w:name="_Toc171907016"/>
      <w:r w:rsidRPr="00EC1B14">
        <w:rPr>
          <w:rFonts w:ascii="Arial" w:hAnsi="Arial" w:cs="Arial"/>
          <w:b/>
          <w:bCs/>
          <w:i w:val="0"/>
          <w:color w:val="auto"/>
          <w:sz w:val="20"/>
        </w:rPr>
        <w:t xml:space="preserve">Table </w:t>
      </w:r>
      <w:r w:rsidRPr="00EC1B14">
        <w:rPr>
          <w:rFonts w:ascii="Arial" w:hAnsi="Arial" w:cs="Arial"/>
          <w:b/>
          <w:bCs/>
          <w:i w:val="0"/>
          <w:color w:val="auto"/>
          <w:sz w:val="20"/>
        </w:rPr>
        <w:fldChar w:fldCharType="begin"/>
      </w:r>
      <w:r w:rsidRPr="00EC1B14">
        <w:rPr>
          <w:rFonts w:ascii="Arial" w:hAnsi="Arial" w:cs="Arial"/>
          <w:b/>
          <w:bCs/>
          <w:i w:val="0"/>
          <w:iCs w:val="0"/>
          <w:color w:val="auto"/>
          <w:sz w:val="20"/>
          <w:szCs w:val="20"/>
        </w:rPr>
        <w:instrText xml:space="preserve"> SEQ Table \* ARABIC </w:instrText>
      </w:r>
      <w:r w:rsidRPr="00EC1B14">
        <w:rPr>
          <w:rFonts w:ascii="Arial" w:hAnsi="Arial" w:cs="Arial"/>
          <w:b/>
          <w:bCs/>
          <w:i w:val="0"/>
          <w:color w:val="auto"/>
          <w:sz w:val="20"/>
        </w:rPr>
        <w:fldChar w:fldCharType="separate"/>
      </w:r>
      <w:r w:rsidR="00FD6222">
        <w:rPr>
          <w:rFonts w:ascii="Arial" w:hAnsi="Arial" w:cs="Arial"/>
          <w:b/>
          <w:bCs/>
          <w:i w:val="0"/>
          <w:iCs w:val="0"/>
          <w:noProof/>
          <w:color w:val="auto"/>
          <w:sz w:val="20"/>
          <w:szCs w:val="20"/>
        </w:rPr>
        <w:t>2</w:t>
      </w:r>
      <w:r w:rsidRPr="00EC1B14">
        <w:rPr>
          <w:rFonts w:ascii="Arial" w:hAnsi="Arial" w:cs="Arial"/>
          <w:b/>
          <w:bCs/>
          <w:i w:val="0"/>
          <w:color w:val="auto"/>
          <w:sz w:val="20"/>
        </w:rPr>
        <w:fldChar w:fldCharType="end"/>
      </w:r>
      <w:r w:rsidRPr="00EC1B14">
        <w:rPr>
          <w:rFonts w:ascii="Arial" w:hAnsi="Arial" w:cs="Arial"/>
          <w:b/>
          <w:bCs/>
          <w:i w:val="0"/>
          <w:color w:val="auto"/>
          <w:sz w:val="20"/>
        </w:rPr>
        <w:t xml:space="preserve">: Prioritisation of chronic </w:t>
      </w:r>
      <w:r w:rsidR="002151E5" w:rsidRPr="00EC1B14">
        <w:rPr>
          <w:rFonts w:ascii="Arial" w:hAnsi="Arial" w:cs="Arial"/>
          <w:b/>
          <w:bCs/>
          <w:i w:val="0"/>
          <w:color w:val="auto"/>
          <w:sz w:val="20"/>
        </w:rPr>
        <w:t>climate physical risks</w:t>
      </w:r>
      <w:r w:rsidRPr="00EC1B14">
        <w:rPr>
          <w:rFonts w:ascii="Arial" w:hAnsi="Arial" w:cs="Arial"/>
          <w:b/>
          <w:bCs/>
          <w:i w:val="0"/>
          <w:color w:val="auto"/>
          <w:sz w:val="20"/>
        </w:rPr>
        <w:t xml:space="preserve"> for Kenya</w:t>
      </w:r>
      <w:bookmarkEnd w:id="20"/>
      <w:bookmarkEnd w:id="21"/>
    </w:p>
    <w:tbl>
      <w:tblPr>
        <w:tblStyle w:val="TableGrid"/>
        <w:tblW w:w="9195" w:type="dxa"/>
        <w:tblLook w:val="04A0" w:firstRow="1" w:lastRow="0" w:firstColumn="1" w:lastColumn="0" w:noHBand="0" w:noVBand="1"/>
      </w:tblPr>
      <w:tblGrid>
        <w:gridCol w:w="1972"/>
        <w:gridCol w:w="1467"/>
        <w:gridCol w:w="5756"/>
      </w:tblGrid>
      <w:tr w:rsidR="007E1EE6" w:rsidRPr="00EC1B14" w14:paraId="788A5051" w14:textId="77777777" w:rsidTr="003E35A7">
        <w:tc>
          <w:tcPr>
            <w:tcW w:w="0" w:type="auto"/>
            <w:shd w:val="clear" w:color="auto" w:fill="BFBFBF" w:themeFill="background1" w:themeFillShade="BF"/>
            <w:hideMark/>
          </w:tcPr>
          <w:p w14:paraId="678AAFC1" w14:textId="77777777" w:rsidR="006D5202" w:rsidRPr="00EC1B14" w:rsidRDefault="00E64C45" w:rsidP="00D25F24">
            <w:pPr>
              <w:pStyle w:val="NoSpacing"/>
              <w:jc w:val="center"/>
              <w:rPr>
                <w:rFonts w:ascii="Arial" w:hAnsi="Arial" w:cs="Arial"/>
                <w:b/>
              </w:rPr>
            </w:pPr>
            <w:r w:rsidRPr="00EC1B14">
              <w:rPr>
                <w:rFonts w:ascii="Arial" w:hAnsi="Arial" w:cs="Arial"/>
                <w:b/>
              </w:rPr>
              <w:t>Physical</w:t>
            </w:r>
          </w:p>
          <w:p w14:paraId="62B6DA55" w14:textId="0DA0A947" w:rsidR="00E64C45" w:rsidRPr="00EC1B14" w:rsidRDefault="00E64C45" w:rsidP="00D25F24">
            <w:pPr>
              <w:pStyle w:val="NoSpacing"/>
              <w:jc w:val="center"/>
              <w:rPr>
                <w:rFonts w:ascii="Arial" w:hAnsi="Arial" w:cs="Arial"/>
                <w:b/>
              </w:rPr>
            </w:pPr>
            <w:r w:rsidRPr="00EC1B14">
              <w:rPr>
                <w:rFonts w:ascii="Arial" w:hAnsi="Arial" w:cs="Arial"/>
                <w:b/>
              </w:rPr>
              <w:t>Risks</w:t>
            </w:r>
          </w:p>
        </w:tc>
        <w:tc>
          <w:tcPr>
            <w:tcW w:w="0" w:type="auto"/>
            <w:shd w:val="clear" w:color="auto" w:fill="BFBFBF" w:themeFill="background1" w:themeFillShade="BF"/>
            <w:hideMark/>
          </w:tcPr>
          <w:p w14:paraId="1BE2C769" w14:textId="77777777" w:rsidR="00E64C45" w:rsidRPr="00EC1B14" w:rsidRDefault="00E64C45" w:rsidP="00D25F24">
            <w:pPr>
              <w:pStyle w:val="NoSpacing"/>
              <w:jc w:val="center"/>
              <w:rPr>
                <w:rFonts w:ascii="Arial" w:hAnsi="Arial" w:cs="Arial"/>
                <w:b/>
              </w:rPr>
            </w:pPr>
            <w:r w:rsidRPr="00EC1B14">
              <w:rPr>
                <w:rFonts w:ascii="Arial" w:hAnsi="Arial" w:cs="Arial"/>
                <w:b/>
              </w:rPr>
              <w:t>Priority Level</w:t>
            </w:r>
          </w:p>
        </w:tc>
        <w:tc>
          <w:tcPr>
            <w:tcW w:w="0" w:type="auto"/>
            <w:shd w:val="clear" w:color="auto" w:fill="BFBFBF" w:themeFill="background1" w:themeFillShade="BF"/>
            <w:hideMark/>
          </w:tcPr>
          <w:p w14:paraId="6608BEBD" w14:textId="77777777" w:rsidR="00E64C45" w:rsidRPr="00EC1B14" w:rsidRDefault="00E64C45" w:rsidP="00D25F24">
            <w:pPr>
              <w:pStyle w:val="NoSpacing"/>
              <w:jc w:val="center"/>
              <w:rPr>
                <w:rFonts w:ascii="Arial" w:hAnsi="Arial" w:cs="Arial"/>
                <w:b/>
              </w:rPr>
            </w:pPr>
            <w:r w:rsidRPr="00EC1B14">
              <w:rPr>
                <w:rFonts w:ascii="Arial" w:hAnsi="Arial" w:cs="Arial"/>
                <w:b/>
              </w:rPr>
              <w:t>Rationale</w:t>
            </w:r>
          </w:p>
        </w:tc>
      </w:tr>
      <w:tr w:rsidR="007E1EE6" w:rsidRPr="00EC1B14" w14:paraId="018ABDEF" w14:textId="77777777" w:rsidTr="002D0F97">
        <w:tc>
          <w:tcPr>
            <w:tcW w:w="0" w:type="auto"/>
            <w:hideMark/>
          </w:tcPr>
          <w:p w14:paraId="6D3836B3" w14:textId="77777777" w:rsidR="00E64C45" w:rsidRPr="00EC1B14" w:rsidRDefault="00E64C45" w:rsidP="00D25F24">
            <w:pPr>
              <w:pStyle w:val="NoSpacing"/>
              <w:rPr>
                <w:rFonts w:ascii="Arial" w:hAnsi="Arial" w:cs="Arial"/>
              </w:rPr>
            </w:pPr>
            <w:r w:rsidRPr="00EC1B14">
              <w:rPr>
                <w:rFonts w:ascii="Arial" w:hAnsi="Arial" w:cs="Arial"/>
              </w:rPr>
              <w:t>Drought</w:t>
            </w:r>
          </w:p>
        </w:tc>
        <w:tc>
          <w:tcPr>
            <w:tcW w:w="0" w:type="auto"/>
            <w:hideMark/>
          </w:tcPr>
          <w:p w14:paraId="209753DC" w14:textId="77777777" w:rsidR="00E64C45" w:rsidRPr="00EC1B14" w:rsidRDefault="00E64C45" w:rsidP="00D25F24">
            <w:pPr>
              <w:pStyle w:val="NoSpacing"/>
              <w:rPr>
                <w:rFonts w:ascii="Arial" w:hAnsi="Arial" w:cs="Arial"/>
              </w:rPr>
            </w:pPr>
            <w:r w:rsidRPr="00EC1B14">
              <w:rPr>
                <w:rFonts w:ascii="Arial" w:hAnsi="Arial" w:cs="Arial"/>
              </w:rPr>
              <w:t>High</w:t>
            </w:r>
          </w:p>
        </w:tc>
        <w:tc>
          <w:tcPr>
            <w:tcW w:w="0" w:type="auto"/>
            <w:hideMark/>
          </w:tcPr>
          <w:p w14:paraId="6878E8E0" w14:textId="0D7E6D30" w:rsidR="00E64C45" w:rsidRPr="00EC1B14" w:rsidRDefault="00E64C45" w:rsidP="00D25F24">
            <w:pPr>
              <w:pStyle w:val="NoSpacing"/>
              <w:jc w:val="both"/>
              <w:rPr>
                <w:rFonts w:ascii="Arial" w:hAnsi="Arial" w:cs="Arial"/>
              </w:rPr>
            </w:pPr>
            <w:r w:rsidRPr="00EC1B14">
              <w:rPr>
                <w:rFonts w:ascii="Arial" w:hAnsi="Arial" w:cs="Arial"/>
              </w:rPr>
              <w:t xml:space="preserve">Recurrent droughts </w:t>
            </w:r>
            <w:r w:rsidR="00C459A6" w:rsidRPr="00EC1B14">
              <w:rPr>
                <w:rFonts w:ascii="Arial" w:hAnsi="Arial" w:cs="Arial"/>
              </w:rPr>
              <w:t>threaten</w:t>
            </w:r>
            <w:r w:rsidRPr="00EC1B14">
              <w:rPr>
                <w:rFonts w:ascii="Arial" w:hAnsi="Arial" w:cs="Arial"/>
              </w:rPr>
              <w:t xml:space="preserve"> agriculture, water supply, and energy production.</w:t>
            </w:r>
          </w:p>
        </w:tc>
      </w:tr>
      <w:tr w:rsidR="007E1EE6" w:rsidRPr="00EC1B14" w14:paraId="109BD995" w14:textId="77777777" w:rsidTr="002D0F97">
        <w:tc>
          <w:tcPr>
            <w:tcW w:w="0" w:type="auto"/>
            <w:hideMark/>
          </w:tcPr>
          <w:p w14:paraId="42A52429" w14:textId="77777777" w:rsidR="00E64C45" w:rsidRPr="00EC1B14" w:rsidRDefault="00E64C45" w:rsidP="00D25F24">
            <w:pPr>
              <w:pStyle w:val="NoSpacing"/>
              <w:rPr>
                <w:rFonts w:ascii="Arial" w:hAnsi="Arial" w:cs="Arial"/>
              </w:rPr>
            </w:pPr>
            <w:r w:rsidRPr="00EC1B14">
              <w:rPr>
                <w:rFonts w:ascii="Arial" w:hAnsi="Arial" w:cs="Arial"/>
              </w:rPr>
              <w:t>Sea-Level Rise</w:t>
            </w:r>
          </w:p>
        </w:tc>
        <w:tc>
          <w:tcPr>
            <w:tcW w:w="0" w:type="auto"/>
            <w:hideMark/>
          </w:tcPr>
          <w:p w14:paraId="5469046C" w14:textId="77777777" w:rsidR="00E64C45" w:rsidRPr="00EC1B14" w:rsidRDefault="00E64C45" w:rsidP="00D25F24">
            <w:pPr>
              <w:pStyle w:val="NoSpacing"/>
              <w:rPr>
                <w:rFonts w:ascii="Arial" w:hAnsi="Arial" w:cs="Arial"/>
              </w:rPr>
            </w:pPr>
            <w:r w:rsidRPr="00EC1B14">
              <w:rPr>
                <w:rFonts w:ascii="Arial" w:hAnsi="Arial" w:cs="Arial"/>
              </w:rPr>
              <w:t>High</w:t>
            </w:r>
          </w:p>
        </w:tc>
        <w:tc>
          <w:tcPr>
            <w:tcW w:w="0" w:type="auto"/>
            <w:hideMark/>
          </w:tcPr>
          <w:p w14:paraId="5BDB8C22" w14:textId="77777777" w:rsidR="00E64C45" w:rsidRPr="00EC1B14" w:rsidRDefault="00E64C45" w:rsidP="00D25F24">
            <w:pPr>
              <w:pStyle w:val="NoSpacing"/>
              <w:jc w:val="both"/>
              <w:rPr>
                <w:rFonts w:ascii="Arial" w:hAnsi="Arial" w:cs="Arial"/>
              </w:rPr>
            </w:pPr>
            <w:r w:rsidRPr="00EC1B14">
              <w:rPr>
                <w:rFonts w:ascii="Arial" w:hAnsi="Arial" w:cs="Arial"/>
              </w:rPr>
              <w:t>Coastal vulnerability to sea-level rise impacts infrastructure, agriculture, and communities in areas like Mombasa.</w:t>
            </w:r>
          </w:p>
        </w:tc>
      </w:tr>
      <w:tr w:rsidR="007E1EE6" w:rsidRPr="00EC1B14" w14:paraId="459D3BCA" w14:textId="77777777" w:rsidTr="002D0F97">
        <w:tc>
          <w:tcPr>
            <w:tcW w:w="0" w:type="auto"/>
            <w:hideMark/>
          </w:tcPr>
          <w:p w14:paraId="45F6EBD1" w14:textId="77777777" w:rsidR="00E64C45" w:rsidRPr="00EC1B14" w:rsidRDefault="00E64C45" w:rsidP="00D25F24">
            <w:pPr>
              <w:pStyle w:val="NoSpacing"/>
              <w:rPr>
                <w:rFonts w:ascii="Arial" w:hAnsi="Arial" w:cs="Arial"/>
              </w:rPr>
            </w:pPr>
            <w:r w:rsidRPr="00EC1B14">
              <w:rPr>
                <w:rFonts w:ascii="Arial" w:hAnsi="Arial" w:cs="Arial"/>
              </w:rPr>
              <w:t>Temperature Increases</w:t>
            </w:r>
          </w:p>
        </w:tc>
        <w:tc>
          <w:tcPr>
            <w:tcW w:w="0" w:type="auto"/>
            <w:hideMark/>
          </w:tcPr>
          <w:p w14:paraId="2CC17DBB" w14:textId="77777777" w:rsidR="00E64C45" w:rsidRPr="00EC1B14" w:rsidRDefault="00E64C45" w:rsidP="00D25F24">
            <w:pPr>
              <w:pStyle w:val="NoSpacing"/>
              <w:rPr>
                <w:rFonts w:ascii="Arial" w:hAnsi="Arial" w:cs="Arial"/>
              </w:rPr>
            </w:pPr>
            <w:r w:rsidRPr="00EC1B14">
              <w:rPr>
                <w:rFonts w:ascii="Arial" w:hAnsi="Arial" w:cs="Arial"/>
              </w:rPr>
              <w:t>High</w:t>
            </w:r>
          </w:p>
        </w:tc>
        <w:tc>
          <w:tcPr>
            <w:tcW w:w="0" w:type="auto"/>
            <w:hideMark/>
          </w:tcPr>
          <w:p w14:paraId="16012961" w14:textId="77777777" w:rsidR="00E64C45" w:rsidRPr="00EC1B14" w:rsidRDefault="00E64C45" w:rsidP="00D25F24">
            <w:pPr>
              <w:pStyle w:val="NoSpacing"/>
              <w:jc w:val="both"/>
              <w:rPr>
                <w:rFonts w:ascii="Arial" w:hAnsi="Arial" w:cs="Arial"/>
              </w:rPr>
            </w:pPr>
            <w:r w:rsidRPr="00EC1B14">
              <w:rPr>
                <w:rFonts w:ascii="Arial" w:hAnsi="Arial" w:cs="Arial"/>
              </w:rPr>
              <w:t>Long-term temperature increases affect agriculture, water availability, and the prevalence of vector-borne diseases.</w:t>
            </w:r>
          </w:p>
        </w:tc>
      </w:tr>
      <w:tr w:rsidR="007E1EE6" w:rsidRPr="00EC1B14" w14:paraId="6B323A82" w14:textId="77777777" w:rsidTr="002D0F97">
        <w:tc>
          <w:tcPr>
            <w:tcW w:w="0" w:type="auto"/>
            <w:hideMark/>
          </w:tcPr>
          <w:p w14:paraId="3C0B8E26" w14:textId="77777777" w:rsidR="00E64C45" w:rsidRPr="00EC1B14" w:rsidRDefault="00E64C45" w:rsidP="00D25F24">
            <w:pPr>
              <w:pStyle w:val="NoSpacing"/>
              <w:rPr>
                <w:rFonts w:ascii="Arial" w:hAnsi="Arial" w:cs="Arial"/>
              </w:rPr>
            </w:pPr>
            <w:r w:rsidRPr="00EC1B14">
              <w:rPr>
                <w:rFonts w:ascii="Arial" w:hAnsi="Arial" w:cs="Arial"/>
              </w:rPr>
              <w:t>Desertification</w:t>
            </w:r>
          </w:p>
        </w:tc>
        <w:tc>
          <w:tcPr>
            <w:tcW w:w="0" w:type="auto"/>
            <w:hideMark/>
          </w:tcPr>
          <w:p w14:paraId="22591283" w14:textId="77777777" w:rsidR="00E64C45" w:rsidRPr="00EC1B14" w:rsidRDefault="00E64C45" w:rsidP="00D25F24">
            <w:pPr>
              <w:pStyle w:val="NoSpacing"/>
              <w:rPr>
                <w:rFonts w:ascii="Arial" w:hAnsi="Arial" w:cs="Arial"/>
              </w:rPr>
            </w:pPr>
            <w:r w:rsidRPr="00EC1B14">
              <w:rPr>
                <w:rFonts w:ascii="Arial" w:hAnsi="Arial" w:cs="Arial"/>
              </w:rPr>
              <w:t>Moderate to High</w:t>
            </w:r>
          </w:p>
        </w:tc>
        <w:tc>
          <w:tcPr>
            <w:tcW w:w="0" w:type="auto"/>
            <w:hideMark/>
          </w:tcPr>
          <w:p w14:paraId="4E27E2BD" w14:textId="77777777" w:rsidR="00E64C45" w:rsidRPr="00EC1B14" w:rsidRDefault="00E64C45" w:rsidP="00D25F24">
            <w:pPr>
              <w:pStyle w:val="NoSpacing"/>
              <w:jc w:val="both"/>
              <w:rPr>
                <w:rFonts w:ascii="Arial" w:hAnsi="Arial" w:cs="Arial"/>
              </w:rPr>
            </w:pPr>
            <w:r w:rsidRPr="00EC1B14">
              <w:rPr>
                <w:rFonts w:ascii="Arial" w:hAnsi="Arial" w:cs="Arial"/>
              </w:rPr>
              <w:t>Land degradation and desertification impact soil fertility and agricultural productivity, particularly in vulnerable areas.</w:t>
            </w:r>
          </w:p>
        </w:tc>
      </w:tr>
      <w:tr w:rsidR="007E1EE6" w:rsidRPr="00EC1B14" w14:paraId="26C3A168" w14:textId="77777777" w:rsidTr="002D0F97">
        <w:tc>
          <w:tcPr>
            <w:tcW w:w="0" w:type="auto"/>
            <w:hideMark/>
          </w:tcPr>
          <w:p w14:paraId="00FB82DE" w14:textId="77777777" w:rsidR="00E64C45" w:rsidRPr="00EC1B14" w:rsidRDefault="00E64C45" w:rsidP="00D25F24">
            <w:pPr>
              <w:pStyle w:val="NoSpacing"/>
              <w:rPr>
                <w:rFonts w:ascii="Arial" w:hAnsi="Arial" w:cs="Arial"/>
              </w:rPr>
            </w:pPr>
            <w:r w:rsidRPr="00EC1B14">
              <w:rPr>
                <w:rFonts w:ascii="Arial" w:hAnsi="Arial" w:cs="Arial"/>
              </w:rPr>
              <w:t>Glacial Retreat</w:t>
            </w:r>
          </w:p>
        </w:tc>
        <w:tc>
          <w:tcPr>
            <w:tcW w:w="0" w:type="auto"/>
            <w:hideMark/>
          </w:tcPr>
          <w:p w14:paraId="4BD83904" w14:textId="77777777" w:rsidR="00E64C45" w:rsidRPr="00EC1B14" w:rsidRDefault="00E64C45" w:rsidP="00D25F24">
            <w:pPr>
              <w:pStyle w:val="NoSpacing"/>
              <w:rPr>
                <w:rFonts w:ascii="Arial" w:hAnsi="Arial" w:cs="Arial"/>
              </w:rPr>
            </w:pPr>
            <w:r w:rsidRPr="00EC1B14">
              <w:rPr>
                <w:rFonts w:ascii="Arial" w:hAnsi="Arial" w:cs="Arial"/>
              </w:rPr>
              <w:t>Moderate</w:t>
            </w:r>
          </w:p>
        </w:tc>
        <w:tc>
          <w:tcPr>
            <w:tcW w:w="0" w:type="auto"/>
            <w:hideMark/>
          </w:tcPr>
          <w:p w14:paraId="41103B66" w14:textId="77777777" w:rsidR="00E64C45" w:rsidRPr="00EC1B14" w:rsidRDefault="00E64C45" w:rsidP="00D25F24">
            <w:pPr>
              <w:pStyle w:val="NoSpacing"/>
              <w:jc w:val="both"/>
              <w:rPr>
                <w:rFonts w:ascii="Arial" w:hAnsi="Arial" w:cs="Arial"/>
              </w:rPr>
            </w:pPr>
            <w:r w:rsidRPr="00EC1B14">
              <w:rPr>
                <w:rFonts w:ascii="Arial" w:hAnsi="Arial" w:cs="Arial"/>
              </w:rPr>
              <w:t>Glacial retreat affects water availability in certain regions, impacting agriculture and water supply.</w:t>
            </w:r>
          </w:p>
        </w:tc>
      </w:tr>
    </w:tbl>
    <w:p w14:paraId="086DD70D" w14:textId="1313AC41" w:rsidR="00E64C45" w:rsidRPr="00EC1B14" w:rsidRDefault="70F695C3" w:rsidP="00D25F24">
      <w:pPr>
        <w:pStyle w:val="Heading2"/>
        <w:spacing w:before="100" w:beforeAutospacing="1" w:after="100" w:afterAutospacing="1" w:line="240" w:lineRule="auto"/>
        <w:rPr>
          <w:rFonts w:ascii="Arial" w:hAnsi="Arial" w:cs="Arial"/>
          <w:b/>
          <w:bCs/>
          <w:color w:val="auto"/>
          <w:sz w:val="24"/>
          <w:szCs w:val="24"/>
        </w:rPr>
      </w:pPr>
      <w:bookmarkStart w:id="22" w:name="_Toc171906996"/>
      <w:r w:rsidRPr="00EC1B14">
        <w:rPr>
          <w:rFonts w:ascii="Arial" w:hAnsi="Arial" w:cs="Arial"/>
          <w:b/>
          <w:bCs/>
          <w:color w:val="auto"/>
          <w:sz w:val="24"/>
          <w:szCs w:val="24"/>
        </w:rPr>
        <w:t>The Geography of Kenya</w:t>
      </w:r>
      <w:bookmarkEnd w:id="22"/>
      <w:r w:rsidRPr="00EC1B14">
        <w:rPr>
          <w:rFonts w:ascii="Arial" w:hAnsi="Arial" w:cs="Arial"/>
          <w:b/>
          <w:bCs/>
          <w:color w:val="auto"/>
          <w:sz w:val="24"/>
          <w:szCs w:val="24"/>
        </w:rPr>
        <w:t xml:space="preserve"> </w:t>
      </w:r>
    </w:p>
    <w:p w14:paraId="38E44BA4" w14:textId="23C8CD96" w:rsidR="00E64C45" w:rsidRPr="00EC1B14" w:rsidRDefault="00E64C45" w:rsidP="00D25F24">
      <w:pPr>
        <w:spacing w:before="100" w:beforeAutospacing="1" w:after="100" w:afterAutospacing="1" w:line="240" w:lineRule="auto"/>
        <w:jc w:val="both"/>
        <w:rPr>
          <w:rFonts w:ascii="Arial" w:hAnsi="Arial" w:cs="Arial"/>
        </w:rPr>
      </w:pPr>
      <w:r w:rsidRPr="00EC1B14">
        <w:rPr>
          <w:rFonts w:ascii="Arial" w:hAnsi="Arial" w:cs="Arial"/>
        </w:rPr>
        <w:t xml:space="preserve">Kenya faces a spectrum of </w:t>
      </w:r>
      <w:r w:rsidR="002151E5" w:rsidRPr="00EC1B14">
        <w:rPr>
          <w:rFonts w:ascii="Arial" w:hAnsi="Arial" w:cs="Arial"/>
        </w:rPr>
        <w:t>climate physical risks</w:t>
      </w:r>
      <w:r w:rsidRPr="00EC1B14">
        <w:rPr>
          <w:rFonts w:ascii="Arial" w:hAnsi="Arial" w:cs="Arial"/>
        </w:rPr>
        <w:t xml:space="preserve"> that have the potential to significantly impact various sectors of its economy. As the nation appreciates and develops experience in dealing with the challenges posed by climate change, it becomes imperative to assess and comprehend how different industries may be vulnerable to these </w:t>
      </w:r>
      <w:r w:rsidR="00D36A16" w:rsidRPr="00EC1B14">
        <w:rPr>
          <w:rFonts w:ascii="Arial" w:hAnsi="Arial" w:cs="Arial"/>
        </w:rPr>
        <w:t>physical climate</w:t>
      </w:r>
      <w:r w:rsidR="002151E5" w:rsidRPr="00EC1B14">
        <w:rPr>
          <w:rFonts w:ascii="Arial" w:hAnsi="Arial" w:cs="Arial"/>
        </w:rPr>
        <w:t xml:space="preserve"> risks</w:t>
      </w:r>
      <w:r w:rsidRPr="00EC1B14">
        <w:rPr>
          <w:rFonts w:ascii="Arial" w:hAnsi="Arial" w:cs="Arial"/>
        </w:rPr>
        <w:t xml:space="preserve"> and their potential or actual impacts. </w:t>
      </w:r>
    </w:p>
    <w:p w14:paraId="291D5488" w14:textId="6983AF82" w:rsidR="00E64C45" w:rsidRPr="00EC1B14" w:rsidRDefault="00E64C45" w:rsidP="00D25F24">
      <w:pPr>
        <w:spacing w:before="100" w:beforeAutospacing="1" w:after="100" w:afterAutospacing="1" w:line="240" w:lineRule="auto"/>
        <w:jc w:val="both"/>
        <w:rPr>
          <w:rFonts w:ascii="Arial" w:hAnsi="Arial" w:cs="Arial"/>
        </w:rPr>
      </w:pPr>
      <w:r w:rsidRPr="00EC1B14">
        <w:rPr>
          <w:rFonts w:ascii="Arial" w:hAnsi="Arial" w:cs="Arial"/>
        </w:rPr>
        <w:t xml:space="preserve">Below is an overview of the key sectors within Kenya likely to be influenced by a range of climate-related </w:t>
      </w:r>
      <w:r w:rsidR="002151E5" w:rsidRPr="00EC1B14">
        <w:rPr>
          <w:rFonts w:ascii="Arial" w:hAnsi="Arial" w:cs="Arial"/>
        </w:rPr>
        <w:t>climate physical risks</w:t>
      </w:r>
      <w:r w:rsidRPr="00EC1B14">
        <w:rPr>
          <w:rFonts w:ascii="Arial" w:hAnsi="Arial" w:cs="Arial"/>
        </w:rPr>
        <w:t>, already detailed in</w:t>
      </w:r>
      <w:r w:rsidR="00392863" w:rsidRPr="00EC1B14">
        <w:rPr>
          <w:rFonts w:ascii="Arial" w:hAnsi="Arial" w:cs="Arial"/>
        </w:rPr>
        <w:t xml:space="preserve"> Table 1 </w:t>
      </w:r>
      <w:r w:rsidRPr="00EC1B14">
        <w:rPr>
          <w:rFonts w:ascii="Arial" w:hAnsi="Arial" w:cs="Arial"/>
        </w:rPr>
        <w:t>above. By recognising these sectoral susceptibilities, commercial banks can formulate informed strategies to enhance resilience and mitigate the adverse effects of these environmental challenges.</w:t>
      </w:r>
    </w:p>
    <w:p w14:paraId="0FE833C4" w14:textId="77777777" w:rsidR="006329B9" w:rsidRPr="00EC1B14" w:rsidRDefault="006329B9" w:rsidP="00D25F24">
      <w:pPr>
        <w:spacing w:before="100" w:beforeAutospacing="1" w:after="100" w:afterAutospacing="1" w:line="240" w:lineRule="auto"/>
        <w:jc w:val="both"/>
        <w:rPr>
          <w:rFonts w:ascii="Arial" w:hAnsi="Arial" w:cs="Arial"/>
        </w:rPr>
      </w:pPr>
    </w:p>
    <w:p w14:paraId="33308325" w14:textId="5C9E6AF1" w:rsidR="00E64C45" w:rsidRPr="00EC1B14" w:rsidRDefault="00E64C45" w:rsidP="00D25F24">
      <w:pPr>
        <w:pStyle w:val="Caption"/>
        <w:spacing w:before="120" w:afterLines="120" w:after="288"/>
        <w:rPr>
          <w:rFonts w:ascii="Arial" w:hAnsi="Arial" w:cs="Arial"/>
          <w:b/>
          <w:bCs/>
          <w:i w:val="0"/>
          <w:iCs w:val="0"/>
          <w:color w:val="auto"/>
          <w:sz w:val="20"/>
          <w:szCs w:val="20"/>
        </w:rPr>
      </w:pPr>
      <w:bookmarkStart w:id="23" w:name="_Toc157522247"/>
      <w:bookmarkStart w:id="24" w:name="_Toc171907017"/>
      <w:r w:rsidRPr="00EC1B14">
        <w:rPr>
          <w:rFonts w:ascii="Arial" w:hAnsi="Arial" w:cs="Arial"/>
          <w:b/>
          <w:bCs/>
          <w:i w:val="0"/>
          <w:color w:val="auto"/>
          <w:sz w:val="20"/>
        </w:rPr>
        <w:t xml:space="preserve">Table </w:t>
      </w:r>
      <w:r w:rsidRPr="00EC1B14">
        <w:rPr>
          <w:rFonts w:ascii="Arial" w:hAnsi="Arial" w:cs="Arial"/>
          <w:b/>
          <w:bCs/>
          <w:i w:val="0"/>
          <w:iCs w:val="0"/>
          <w:color w:val="auto"/>
          <w:sz w:val="20"/>
          <w:szCs w:val="20"/>
        </w:rPr>
        <w:fldChar w:fldCharType="begin"/>
      </w:r>
      <w:r w:rsidRPr="00EC1B14">
        <w:rPr>
          <w:rFonts w:ascii="Arial" w:hAnsi="Arial" w:cs="Arial"/>
          <w:b/>
          <w:bCs/>
          <w:i w:val="0"/>
          <w:iCs w:val="0"/>
          <w:color w:val="auto"/>
          <w:sz w:val="20"/>
          <w:szCs w:val="20"/>
        </w:rPr>
        <w:instrText xml:space="preserve"> SEQ Table \* ARABIC </w:instrText>
      </w:r>
      <w:r w:rsidRPr="00EC1B14">
        <w:rPr>
          <w:rFonts w:ascii="Arial" w:hAnsi="Arial" w:cs="Arial"/>
          <w:b/>
          <w:bCs/>
          <w:i w:val="0"/>
          <w:iCs w:val="0"/>
          <w:color w:val="auto"/>
          <w:sz w:val="20"/>
          <w:szCs w:val="20"/>
        </w:rPr>
        <w:fldChar w:fldCharType="separate"/>
      </w:r>
      <w:r w:rsidR="00FD6222">
        <w:rPr>
          <w:rFonts w:ascii="Arial" w:hAnsi="Arial" w:cs="Arial"/>
          <w:b/>
          <w:bCs/>
          <w:i w:val="0"/>
          <w:iCs w:val="0"/>
          <w:noProof/>
          <w:color w:val="auto"/>
          <w:sz w:val="20"/>
          <w:szCs w:val="20"/>
        </w:rPr>
        <w:t>3</w:t>
      </w:r>
      <w:r w:rsidRPr="00EC1B14">
        <w:rPr>
          <w:rFonts w:ascii="Arial" w:hAnsi="Arial" w:cs="Arial"/>
          <w:b/>
          <w:bCs/>
          <w:i w:val="0"/>
          <w:iCs w:val="0"/>
          <w:color w:val="auto"/>
          <w:sz w:val="20"/>
          <w:szCs w:val="20"/>
        </w:rPr>
        <w:fldChar w:fldCharType="end"/>
      </w:r>
      <w:r w:rsidRPr="00EC1B14">
        <w:rPr>
          <w:rFonts w:ascii="Arial" w:hAnsi="Arial" w:cs="Arial"/>
          <w:b/>
          <w:bCs/>
          <w:i w:val="0"/>
          <w:iCs w:val="0"/>
          <w:color w:val="auto"/>
          <w:sz w:val="20"/>
          <w:szCs w:val="20"/>
        </w:rPr>
        <w:t xml:space="preserve">: Sectors vulnerable to </w:t>
      </w:r>
      <w:r w:rsidR="002151E5" w:rsidRPr="00EC1B14">
        <w:rPr>
          <w:rFonts w:ascii="Arial" w:hAnsi="Arial" w:cs="Arial"/>
          <w:b/>
          <w:bCs/>
          <w:i w:val="0"/>
          <w:iCs w:val="0"/>
          <w:color w:val="auto"/>
          <w:sz w:val="20"/>
          <w:szCs w:val="20"/>
        </w:rPr>
        <w:t>climate physical risks</w:t>
      </w:r>
      <w:r w:rsidRPr="00EC1B14">
        <w:rPr>
          <w:rFonts w:ascii="Arial" w:hAnsi="Arial" w:cs="Arial"/>
          <w:b/>
          <w:bCs/>
          <w:i w:val="0"/>
          <w:iCs w:val="0"/>
          <w:color w:val="auto"/>
          <w:sz w:val="20"/>
          <w:szCs w:val="20"/>
        </w:rPr>
        <w:t xml:space="preserve"> and their assessment</w:t>
      </w:r>
      <w:bookmarkEnd w:id="23"/>
      <w:bookmarkEnd w:id="24"/>
    </w:p>
    <w:tbl>
      <w:tblPr>
        <w:tblStyle w:val="TableGrid"/>
        <w:tblW w:w="8923" w:type="dxa"/>
        <w:tblLook w:val="04A0" w:firstRow="1" w:lastRow="0" w:firstColumn="1" w:lastColumn="0" w:noHBand="0" w:noVBand="1"/>
      </w:tblPr>
      <w:tblGrid>
        <w:gridCol w:w="1808"/>
        <w:gridCol w:w="7115"/>
      </w:tblGrid>
      <w:tr w:rsidR="007E1EE6" w:rsidRPr="00EC1B14" w14:paraId="72745066" w14:textId="77777777" w:rsidTr="003E35A7">
        <w:tc>
          <w:tcPr>
            <w:tcW w:w="1790" w:type="dxa"/>
            <w:shd w:val="clear" w:color="auto" w:fill="BFBFBF" w:themeFill="background1" w:themeFillShade="BF"/>
            <w:hideMark/>
          </w:tcPr>
          <w:p w14:paraId="6723F77C" w14:textId="77777777" w:rsidR="00E64C45" w:rsidRPr="00EC1B14" w:rsidRDefault="00E64C45" w:rsidP="00D25F24">
            <w:pPr>
              <w:pStyle w:val="NoSpacing"/>
              <w:jc w:val="center"/>
              <w:rPr>
                <w:rFonts w:ascii="Arial" w:hAnsi="Arial" w:cs="Arial"/>
                <w:b/>
                <w:bCs/>
                <w:sz w:val="20"/>
                <w:szCs w:val="20"/>
              </w:rPr>
            </w:pPr>
            <w:r w:rsidRPr="00EC1B14">
              <w:rPr>
                <w:rFonts w:ascii="Arial" w:hAnsi="Arial" w:cs="Arial"/>
                <w:b/>
                <w:bCs/>
                <w:sz w:val="20"/>
                <w:szCs w:val="20"/>
              </w:rPr>
              <w:t>Sector</w:t>
            </w:r>
          </w:p>
        </w:tc>
        <w:tc>
          <w:tcPr>
            <w:tcW w:w="7043" w:type="dxa"/>
            <w:shd w:val="clear" w:color="auto" w:fill="BFBFBF" w:themeFill="background1" w:themeFillShade="BF"/>
            <w:hideMark/>
          </w:tcPr>
          <w:p w14:paraId="69DA301A" w14:textId="77777777" w:rsidR="00E64C45" w:rsidRPr="00EC1B14" w:rsidRDefault="00E64C45" w:rsidP="00D25F24">
            <w:pPr>
              <w:pStyle w:val="NoSpacing"/>
              <w:jc w:val="center"/>
              <w:rPr>
                <w:rFonts w:ascii="Arial" w:hAnsi="Arial" w:cs="Arial"/>
                <w:b/>
                <w:bCs/>
                <w:sz w:val="20"/>
                <w:szCs w:val="20"/>
              </w:rPr>
            </w:pPr>
            <w:r w:rsidRPr="00EC1B14">
              <w:rPr>
                <w:rFonts w:ascii="Arial" w:hAnsi="Arial" w:cs="Arial"/>
                <w:b/>
                <w:bCs/>
                <w:sz w:val="20"/>
                <w:szCs w:val="20"/>
              </w:rPr>
              <w:t>Illustrative Impact</w:t>
            </w:r>
          </w:p>
        </w:tc>
      </w:tr>
      <w:tr w:rsidR="007E1EE6" w:rsidRPr="00EC1B14" w14:paraId="278C0144" w14:textId="77777777" w:rsidTr="002D0F97">
        <w:tc>
          <w:tcPr>
            <w:tcW w:w="1790" w:type="dxa"/>
          </w:tcPr>
          <w:p w14:paraId="733D5C07" w14:textId="77777777" w:rsidR="00E64C45" w:rsidRPr="00EC1B14" w:rsidRDefault="00E64C45" w:rsidP="00D25F24">
            <w:pPr>
              <w:pStyle w:val="NoSpacing"/>
              <w:rPr>
                <w:rFonts w:ascii="Arial" w:hAnsi="Arial" w:cs="Arial"/>
                <w:sz w:val="20"/>
                <w:szCs w:val="20"/>
              </w:rPr>
            </w:pPr>
            <w:r w:rsidRPr="00EC1B14">
              <w:rPr>
                <w:rFonts w:ascii="Arial" w:hAnsi="Arial" w:cs="Arial"/>
                <w:sz w:val="20"/>
                <w:szCs w:val="20"/>
              </w:rPr>
              <w:t>Agriculture</w:t>
            </w:r>
          </w:p>
          <w:p w14:paraId="140065DE" w14:textId="77777777" w:rsidR="00E64C45" w:rsidRPr="00EC1B14" w:rsidRDefault="00E64C45" w:rsidP="00D25F24">
            <w:pPr>
              <w:pStyle w:val="NoSpacing"/>
              <w:rPr>
                <w:rFonts w:ascii="Arial" w:hAnsi="Arial" w:cs="Arial"/>
                <w:sz w:val="20"/>
                <w:szCs w:val="20"/>
              </w:rPr>
            </w:pPr>
          </w:p>
        </w:tc>
        <w:tc>
          <w:tcPr>
            <w:tcW w:w="7043" w:type="dxa"/>
            <w:hideMark/>
          </w:tcPr>
          <w:p w14:paraId="6E50A9B9" w14:textId="3BF1BE1B" w:rsidR="00647A6A" w:rsidRPr="00EC1B14" w:rsidRDefault="00E64C45" w:rsidP="00D25F24">
            <w:pPr>
              <w:pStyle w:val="NoSpacing"/>
              <w:jc w:val="both"/>
              <w:rPr>
                <w:rFonts w:ascii="Arial" w:hAnsi="Arial" w:cs="Arial"/>
                <w:sz w:val="20"/>
                <w:szCs w:val="20"/>
              </w:rPr>
            </w:pPr>
            <w:r w:rsidRPr="00EC1B14">
              <w:rPr>
                <w:rFonts w:ascii="Arial" w:hAnsi="Arial" w:cs="Arial"/>
                <w:sz w:val="20"/>
                <w:szCs w:val="20"/>
              </w:rPr>
              <w:t xml:space="preserve">Agriculture is a cornerstone of Kenya's economy, contributing significantly to employment and Gross Domestic Product (GDP). Physical risks such as droughts, floods, and temperature extremes </w:t>
            </w:r>
            <w:r w:rsidR="00C459A6" w:rsidRPr="00EC1B14">
              <w:rPr>
                <w:rFonts w:ascii="Arial" w:hAnsi="Arial" w:cs="Arial"/>
                <w:sz w:val="20"/>
                <w:szCs w:val="20"/>
              </w:rPr>
              <w:t>directly threaten</w:t>
            </w:r>
            <w:r w:rsidRPr="00EC1B14">
              <w:rPr>
                <w:rFonts w:ascii="Arial" w:hAnsi="Arial" w:cs="Arial"/>
                <w:sz w:val="20"/>
                <w:szCs w:val="20"/>
              </w:rPr>
              <w:t xml:space="preserve"> crop yields, livestock, and food security.</w:t>
            </w:r>
          </w:p>
        </w:tc>
      </w:tr>
      <w:tr w:rsidR="007E1EE6" w:rsidRPr="00EC1B14" w14:paraId="69CDD08E" w14:textId="77777777" w:rsidTr="002D0F97">
        <w:tc>
          <w:tcPr>
            <w:tcW w:w="1790" w:type="dxa"/>
            <w:hideMark/>
          </w:tcPr>
          <w:p w14:paraId="41194646" w14:textId="77777777" w:rsidR="00E64C45" w:rsidRPr="00EC1B14" w:rsidRDefault="00E64C45" w:rsidP="00D25F24">
            <w:pPr>
              <w:pStyle w:val="NoSpacing"/>
              <w:rPr>
                <w:rFonts w:ascii="Arial" w:hAnsi="Arial" w:cs="Arial"/>
                <w:sz w:val="20"/>
                <w:szCs w:val="20"/>
              </w:rPr>
            </w:pPr>
            <w:r w:rsidRPr="00EC1B14">
              <w:rPr>
                <w:rFonts w:ascii="Arial" w:hAnsi="Arial" w:cs="Arial"/>
                <w:sz w:val="20"/>
                <w:szCs w:val="20"/>
              </w:rPr>
              <w:t>Water and Sanitation</w:t>
            </w:r>
          </w:p>
        </w:tc>
        <w:tc>
          <w:tcPr>
            <w:tcW w:w="7043" w:type="dxa"/>
            <w:hideMark/>
          </w:tcPr>
          <w:p w14:paraId="01A9CA98" w14:textId="4416EAC0" w:rsidR="00647A6A" w:rsidRPr="00EC1B14" w:rsidRDefault="00E64C45" w:rsidP="00D25F24">
            <w:pPr>
              <w:pStyle w:val="NoSpacing"/>
              <w:jc w:val="both"/>
              <w:rPr>
                <w:rFonts w:ascii="Arial" w:hAnsi="Arial" w:cs="Arial"/>
                <w:sz w:val="20"/>
                <w:szCs w:val="20"/>
              </w:rPr>
            </w:pPr>
            <w:r w:rsidRPr="00EC1B14">
              <w:rPr>
                <w:rFonts w:ascii="Arial" w:hAnsi="Arial" w:cs="Arial"/>
                <w:sz w:val="20"/>
                <w:szCs w:val="20"/>
              </w:rPr>
              <w:t xml:space="preserve">Changes in precipitation patterns and prolonged droughts affect water availability. This impacts water supply systems and sanitation infrastructure and </w:t>
            </w:r>
            <w:r w:rsidR="00C459A6" w:rsidRPr="00EC1B14">
              <w:rPr>
                <w:rFonts w:ascii="Arial" w:hAnsi="Arial" w:cs="Arial"/>
                <w:sz w:val="20"/>
                <w:szCs w:val="20"/>
              </w:rPr>
              <w:t>challenges urban and rural communities to access</w:t>
            </w:r>
            <w:r w:rsidRPr="00EC1B14">
              <w:rPr>
                <w:rFonts w:ascii="Arial" w:hAnsi="Arial" w:cs="Arial"/>
                <w:sz w:val="20"/>
                <w:szCs w:val="20"/>
              </w:rPr>
              <w:t xml:space="preserve"> clean and reliable water sources.</w:t>
            </w:r>
          </w:p>
        </w:tc>
      </w:tr>
      <w:tr w:rsidR="007E1EE6" w:rsidRPr="00EC1B14" w14:paraId="2ABE1984" w14:textId="77777777" w:rsidTr="002D0F97">
        <w:tc>
          <w:tcPr>
            <w:tcW w:w="1790" w:type="dxa"/>
          </w:tcPr>
          <w:p w14:paraId="17C6BF4A" w14:textId="77777777" w:rsidR="00E64C45" w:rsidRPr="00EC1B14" w:rsidRDefault="00E64C45" w:rsidP="00D25F24">
            <w:pPr>
              <w:pStyle w:val="NoSpacing"/>
              <w:rPr>
                <w:rFonts w:ascii="Arial" w:hAnsi="Arial" w:cs="Arial"/>
                <w:sz w:val="20"/>
                <w:szCs w:val="20"/>
              </w:rPr>
            </w:pPr>
            <w:r w:rsidRPr="00EC1B14">
              <w:rPr>
                <w:rFonts w:ascii="Arial" w:hAnsi="Arial" w:cs="Arial"/>
                <w:sz w:val="20"/>
                <w:szCs w:val="20"/>
              </w:rPr>
              <w:t>Energy</w:t>
            </w:r>
          </w:p>
          <w:p w14:paraId="3EA547CF" w14:textId="77777777" w:rsidR="00E64C45" w:rsidRPr="00EC1B14" w:rsidRDefault="00E64C45" w:rsidP="00D25F24">
            <w:pPr>
              <w:pStyle w:val="NoSpacing"/>
              <w:rPr>
                <w:rFonts w:ascii="Arial" w:hAnsi="Arial" w:cs="Arial"/>
                <w:sz w:val="20"/>
                <w:szCs w:val="20"/>
              </w:rPr>
            </w:pPr>
          </w:p>
        </w:tc>
        <w:tc>
          <w:tcPr>
            <w:tcW w:w="7043" w:type="dxa"/>
            <w:hideMark/>
          </w:tcPr>
          <w:p w14:paraId="65C0A671" w14:textId="3E389287" w:rsidR="00647A6A" w:rsidRPr="00EC1B14" w:rsidRDefault="00E64C45" w:rsidP="00D25F24">
            <w:pPr>
              <w:pStyle w:val="NoSpacing"/>
              <w:jc w:val="both"/>
              <w:rPr>
                <w:rFonts w:ascii="Arial" w:hAnsi="Arial" w:cs="Arial"/>
                <w:sz w:val="20"/>
                <w:szCs w:val="20"/>
              </w:rPr>
            </w:pPr>
            <w:r w:rsidRPr="00EC1B14">
              <w:rPr>
                <w:rFonts w:ascii="Arial" w:hAnsi="Arial" w:cs="Arial"/>
                <w:sz w:val="20"/>
                <w:szCs w:val="20"/>
              </w:rPr>
              <w:t>Kenya heavily relies on hydropower for energy generation. Droughts and changes in precipitation can lead to reduced water levels in reservoirs, affecting power generation capacity. This underscores the importance of diversifying the energy mix to enhance resilience.</w:t>
            </w:r>
          </w:p>
        </w:tc>
      </w:tr>
      <w:tr w:rsidR="007E1EE6" w:rsidRPr="00EC1B14" w14:paraId="2F20C527" w14:textId="77777777" w:rsidTr="002D0F97">
        <w:tc>
          <w:tcPr>
            <w:tcW w:w="1790" w:type="dxa"/>
            <w:hideMark/>
          </w:tcPr>
          <w:p w14:paraId="59E595F9" w14:textId="77777777" w:rsidR="00E64C45" w:rsidRPr="00EC1B14" w:rsidRDefault="00E64C45" w:rsidP="00D25F24">
            <w:pPr>
              <w:pStyle w:val="NoSpacing"/>
              <w:rPr>
                <w:rFonts w:ascii="Arial" w:hAnsi="Arial" w:cs="Arial"/>
                <w:sz w:val="20"/>
                <w:szCs w:val="20"/>
              </w:rPr>
            </w:pPr>
            <w:r w:rsidRPr="00EC1B14">
              <w:rPr>
                <w:rFonts w:ascii="Arial" w:hAnsi="Arial" w:cs="Arial"/>
                <w:sz w:val="20"/>
                <w:szCs w:val="20"/>
              </w:rPr>
              <w:t>Construction</w:t>
            </w:r>
          </w:p>
        </w:tc>
        <w:tc>
          <w:tcPr>
            <w:tcW w:w="7043" w:type="dxa"/>
            <w:hideMark/>
          </w:tcPr>
          <w:p w14:paraId="57B75410" w14:textId="1B5A2986" w:rsidR="00647A6A" w:rsidRPr="00EC1B14" w:rsidRDefault="00E64C45" w:rsidP="00D25F24">
            <w:pPr>
              <w:pStyle w:val="NoSpacing"/>
              <w:jc w:val="both"/>
              <w:rPr>
                <w:rFonts w:ascii="Arial" w:hAnsi="Arial" w:cs="Arial"/>
                <w:sz w:val="20"/>
                <w:szCs w:val="20"/>
              </w:rPr>
            </w:pPr>
            <w:r w:rsidRPr="00EC1B14">
              <w:rPr>
                <w:rFonts w:ascii="Arial" w:hAnsi="Arial" w:cs="Arial"/>
                <w:sz w:val="20"/>
                <w:szCs w:val="20"/>
              </w:rPr>
              <w:t xml:space="preserve">Coastal areas face the risk of </w:t>
            </w:r>
            <w:r w:rsidR="00C459A6" w:rsidRPr="00EC1B14">
              <w:rPr>
                <w:rFonts w:ascii="Arial" w:hAnsi="Arial" w:cs="Arial"/>
                <w:sz w:val="20"/>
                <w:szCs w:val="20"/>
              </w:rPr>
              <w:t>rising sea levels</w:t>
            </w:r>
            <w:r w:rsidRPr="00EC1B14">
              <w:rPr>
                <w:rFonts w:ascii="Arial" w:hAnsi="Arial" w:cs="Arial"/>
                <w:sz w:val="20"/>
                <w:szCs w:val="20"/>
              </w:rPr>
              <w:t>, leading to erosion and damage to critical infrastructure. Increased frequency and intensity of storms can also impact roads, bridges, and other vital facilities, affecting transportation networks.</w:t>
            </w:r>
          </w:p>
        </w:tc>
      </w:tr>
      <w:tr w:rsidR="007E1EE6" w:rsidRPr="00EC1B14" w14:paraId="3346C9EB" w14:textId="77777777" w:rsidTr="002D0F97">
        <w:tc>
          <w:tcPr>
            <w:tcW w:w="1790" w:type="dxa"/>
            <w:hideMark/>
          </w:tcPr>
          <w:p w14:paraId="17382CC2" w14:textId="77777777" w:rsidR="00E64C45" w:rsidRPr="00EC1B14" w:rsidRDefault="00E64C45" w:rsidP="00D25F24">
            <w:pPr>
              <w:pStyle w:val="NoSpacing"/>
              <w:rPr>
                <w:rFonts w:ascii="Arial" w:hAnsi="Arial" w:cs="Arial"/>
                <w:sz w:val="20"/>
                <w:szCs w:val="20"/>
              </w:rPr>
            </w:pPr>
            <w:r w:rsidRPr="00EC1B14">
              <w:rPr>
                <w:rFonts w:ascii="Arial" w:hAnsi="Arial" w:cs="Arial"/>
                <w:sz w:val="20"/>
                <w:szCs w:val="20"/>
              </w:rPr>
              <w:t>Tourism</w:t>
            </w:r>
          </w:p>
        </w:tc>
        <w:tc>
          <w:tcPr>
            <w:tcW w:w="7043" w:type="dxa"/>
            <w:hideMark/>
          </w:tcPr>
          <w:p w14:paraId="6119BBCE" w14:textId="6CF7C368" w:rsidR="00647A6A" w:rsidRPr="00EC1B14" w:rsidRDefault="00E64C45" w:rsidP="00D25F24">
            <w:pPr>
              <w:pStyle w:val="NoSpacing"/>
              <w:jc w:val="both"/>
              <w:rPr>
                <w:rFonts w:ascii="Arial" w:hAnsi="Arial" w:cs="Arial"/>
                <w:sz w:val="20"/>
                <w:szCs w:val="20"/>
              </w:rPr>
            </w:pPr>
            <w:r w:rsidRPr="00EC1B14">
              <w:rPr>
                <w:rFonts w:ascii="Arial" w:hAnsi="Arial" w:cs="Arial"/>
                <w:sz w:val="20"/>
                <w:szCs w:val="20"/>
              </w:rPr>
              <w:t>Kenya's tourism industry, centred around its unique ecosystems and wildlife, is susceptible to the impacts of climate change. These include disruptions to ecosystems</w:t>
            </w:r>
            <w:r w:rsidR="00C459A6" w:rsidRPr="00EC1B14">
              <w:rPr>
                <w:rFonts w:ascii="Arial" w:hAnsi="Arial" w:cs="Arial"/>
                <w:sz w:val="20"/>
                <w:szCs w:val="20"/>
              </w:rPr>
              <w:t xml:space="preserve"> and wildlife habitats</w:t>
            </w:r>
            <w:r w:rsidRPr="00EC1B14">
              <w:rPr>
                <w:rFonts w:ascii="Arial" w:hAnsi="Arial" w:cs="Arial"/>
                <w:sz w:val="20"/>
                <w:szCs w:val="20"/>
              </w:rPr>
              <w:t xml:space="preserve"> and changes in visitor patterns due to extreme weather events.</w:t>
            </w:r>
          </w:p>
        </w:tc>
      </w:tr>
      <w:tr w:rsidR="007E1EE6" w:rsidRPr="00EC1B14" w14:paraId="3C5FD6A5" w14:textId="77777777" w:rsidTr="002D0F97">
        <w:tc>
          <w:tcPr>
            <w:tcW w:w="1790" w:type="dxa"/>
            <w:hideMark/>
          </w:tcPr>
          <w:p w14:paraId="3DBD0E6B" w14:textId="77777777" w:rsidR="00E64C45" w:rsidRPr="00EC1B14" w:rsidRDefault="00E64C45" w:rsidP="00D25F24">
            <w:pPr>
              <w:pStyle w:val="NoSpacing"/>
              <w:rPr>
                <w:rFonts w:ascii="Arial" w:hAnsi="Arial" w:cs="Arial"/>
                <w:sz w:val="20"/>
                <w:szCs w:val="20"/>
              </w:rPr>
            </w:pPr>
            <w:r w:rsidRPr="00EC1B14">
              <w:rPr>
                <w:rFonts w:ascii="Arial" w:hAnsi="Arial" w:cs="Arial"/>
                <w:sz w:val="20"/>
                <w:szCs w:val="20"/>
              </w:rPr>
              <w:t>Healthcare</w:t>
            </w:r>
          </w:p>
        </w:tc>
        <w:tc>
          <w:tcPr>
            <w:tcW w:w="7043" w:type="dxa"/>
            <w:hideMark/>
          </w:tcPr>
          <w:p w14:paraId="18DEF4BE" w14:textId="27AAE2E2" w:rsidR="00647A6A" w:rsidRPr="00EC1B14" w:rsidRDefault="00C459A6" w:rsidP="00D25F24">
            <w:pPr>
              <w:pStyle w:val="NoSpacing"/>
              <w:jc w:val="both"/>
              <w:rPr>
                <w:rFonts w:ascii="Arial" w:hAnsi="Arial" w:cs="Arial"/>
                <w:sz w:val="20"/>
                <w:szCs w:val="20"/>
              </w:rPr>
            </w:pPr>
            <w:r w:rsidRPr="00EC1B14">
              <w:rPr>
                <w:rFonts w:ascii="Arial" w:hAnsi="Arial" w:cs="Arial"/>
                <w:sz w:val="20"/>
                <w:szCs w:val="20"/>
              </w:rPr>
              <w:t>Climate factors influence vector-borne diseases such as malaria</w:t>
            </w:r>
            <w:r w:rsidR="00E64C45" w:rsidRPr="00EC1B14">
              <w:rPr>
                <w:rFonts w:ascii="Arial" w:hAnsi="Arial" w:cs="Arial"/>
                <w:sz w:val="20"/>
                <w:szCs w:val="20"/>
              </w:rPr>
              <w:t xml:space="preserve">. </w:t>
            </w:r>
            <w:r w:rsidRPr="00EC1B14">
              <w:rPr>
                <w:rFonts w:ascii="Arial" w:hAnsi="Arial" w:cs="Arial"/>
                <w:sz w:val="20"/>
                <w:szCs w:val="20"/>
              </w:rPr>
              <w:t>Temperature</w:t>
            </w:r>
            <w:r w:rsidR="00E64C45" w:rsidRPr="00EC1B14">
              <w:rPr>
                <w:rFonts w:ascii="Arial" w:hAnsi="Arial" w:cs="Arial"/>
                <w:sz w:val="20"/>
                <w:szCs w:val="20"/>
              </w:rPr>
              <w:t xml:space="preserve"> and precipitation patterns can alter the geographic distribution of disease vectors, impacting public health and straining healthcare systems.</w:t>
            </w:r>
          </w:p>
        </w:tc>
      </w:tr>
      <w:tr w:rsidR="007E1EE6" w:rsidRPr="00EC1B14" w14:paraId="46E1FEBA" w14:textId="77777777" w:rsidTr="002D0F97">
        <w:tc>
          <w:tcPr>
            <w:tcW w:w="1790" w:type="dxa"/>
            <w:hideMark/>
          </w:tcPr>
          <w:p w14:paraId="43BA4591" w14:textId="77777777" w:rsidR="00E64C45" w:rsidRPr="00EC1B14" w:rsidRDefault="00E64C45" w:rsidP="00D25F24">
            <w:pPr>
              <w:pStyle w:val="NoSpacing"/>
              <w:rPr>
                <w:rFonts w:ascii="Arial" w:hAnsi="Arial" w:cs="Arial"/>
                <w:sz w:val="20"/>
                <w:szCs w:val="20"/>
              </w:rPr>
            </w:pPr>
            <w:r w:rsidRPr="00EC1B14">
              <w:rPr>
                <w:rFonts w:ascii="Arial" w:hAnsi="Arial" w:cs="Arial"/>
                <w:sz w:val="20"/>
                <w:szCs w:val="20"/>
              </w:rPr>
              <w:t>Finance and Insurance</w:t>
            </w:r>
          </w:p>
        </w:tc>
        <w:tc>
          <w:tcPr>
            <w:tcW w:w="7043" w:type="dxa"/>
            <w:hideMark/>
          </w:tcPr>
          <w:p w14:paraId="5C0BAC68" w14:textId="61CEC98C" w:rsidR="00647A6A" w:rsidRPr="00EC1B14" w:rsidRDefault="00E64C45" w:rsidP="00D25F24">
            <w:pPr>
              <w:pStyle w:val="NoSpacing"/>
              <w:jc w:val="both"/>
              <w:rPr>
                <w:rFonts w:ascii="Arial" w:hAnsi="Arial" w:cs="Arial"/>
                <w:sz w:val="20"/>
                <w:szCs w:val="20"/>
              </w:rPr>
            </w:pPr>
            <w:r w:rsidRPr="00EC1B14">
              <w:rPr>
                <w:rFonts w:ascii="Arial" w:hAnsi="Arial" w:cs="Arial"/>
                <w:sz w:val="20"/>
                <w:szCs w:val="20"/>
              </w:rPr>
              <w:t xml:space="preserve">The financial sector faces risks associated with climate-induced events that can impact businesses and households, affecting loan portfolios, insurance claims, and overall </w:t>
            </w:r>
            <w:r w:rsidR="00C459A6" w:rsidRPr="00EC1B14">
              <w:rPr>
                <w:rFonts w:ascii="Arial" w:hAnsi="Arial" w:cs="Arial"/>
                <w:sz w:val="20"/>
                <w:szCs w:val="20"/>
              </w:rPr>
              <w:t>economic</w:t>
            </w:r>
            <w:r w:rsidRPr="00EC1B14">
              <w:rPr>
                <w:rFonts w:ascii="Arial" w:hAnsi="Arial" w:cs="Arial"/>
                <w:sz w:val="20"/>
                <w:szCs w:val="20"/>
              </w:rPr>
              <w:t xml:space="preserve"> stability. This includes risks associated with property damage and business interruptions.</w:t>
            </w:r>
          </w:p>
        </w:tc>
      </w:tr>
      <w:tr w:rsidR="00E64C45" w:rsidRPr="00EC1B14" w14:paraId="29BBF16A" w14:textId="77777777" w:rsidTr="003E35A7">
        <w:trPr>
          <w:trHeight w:val="605"/>
        </w:trPr>
        <w:tc>
          <w:tcPr>
            <w:tcW w:w="1790" w:type="dxa"/>
            <w:hideMark/>
          </w:tcPr>
          <w:p w14:paraId="66F60374" w14:textId="77777777" w:rsidR="00E64C45" w:rsidRPr="00EC1B14" w:rsidRDefault="00E64C45" w:rsidP="00D25F24">
            <w:pPr>
              <w:pStyle w:val="NoSpacing"/>
              <w:rPr>
                <w:rFonts w:ascii="Arial" w:hAnsi="Arial" w:cs="Arial"/>
                <w:sz w:val="20"/>
                <w:szCs w:val="20"/>
              </w:rPr>
            </w:pPr>
            <w:r w:rsidRPr="00EC1B14">
              <w:rPr>
                <w:rFonts w:ascii="Arial" w:hAnsi="Arial" w:cs="Arial"/>
                <w:sz w:val="20"/>
                <w:szCs w:val="20"/>
              </w:rPr>
              <w:t>Transportation</w:t>
            </w:r>
          </w:p>
        </w:tc>
        <w:tc>
          <w:tcPr>
            <w:tcW w:w="7043" w:type="dxa"/>
            <w:hideMark/>
          </w:tcPr>
          <w:p w14:paraId="06EF69D6" w14:textId="06DBDC89"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Extreme weather events</w:t>
            </w:r>
            <w:r w:rsidR="00C459A6" w:rsidRPr="00EC1B14">
              <w:rPr>
                <w:rFonts w:ascii="Arial" w:hAnsi="Arial" w:cs="Arial"/>
                <w:sz w:val="20"/>
                <w:szCs w:val="20"/>
              </w:rPr>
              <w:t xml:space="preserve"> like floods and storms</w:t>
            </w:r>
            <w:r w:rsidRPr="00EC1B14">
              <w:rPr>
                <w:rFonts w:ascii="Arial" w:hAnsi="Arial" w:cs="Arial"/>
                <w:sz w:val="20"/>
                <w:szCs w:val="20"/>
              </w:rPr>
              <w:t xml:space="preserve"> can disrupt transportation networks, impacting road and air travel. Coastal regions may face challenges related to port infrastructure due to </w:t>
            </w:r>
            <w:r w:rsidR="00C459A6" w:rsidRPr="00EC1B14">
              <w:rPr>
                <w:rFonts w:ascii="Arial" w:hAnsi="Arial" w:cs="Arial"/>
                <w:sz w:val="20"/>
                <w:szCs w:val="20"/>
              </w:rPr>
              <w:t>rising sea levels</w:t>
            </w:r>
            <w:r w:rsidRPr="00EC1B14">
              <w:rPr>
                <w:rFonts w:ascii="Arial" w:hAnsi="Arial" w:cs="Arial"/>
                <w:sz w:val="20"/>
                <w:szCs w:val="20"/>
              </w:rPr>
              <w:t xml:space="preserve"> and storm surges.</w:t>
            </w:r>
          </w:p>
        </w:tc>
      </w:tr>
    </w:tbl>
    <w:p w14:paraId="30E71245" w14:textId="2CD050A1" w:rsidR="00647A6A" w:rsidRPr="00EC1B14" w:rsidRDefault="008234EF" w:rsidP="00D25F24">
      <w:pPr>
        <w:spacing w:line="240" w:lineRule="auto"/>
        <w:rPr>
          <w:rFonts w:ascii="Arial" w:hAnsi="Arial" w:cs="Arial"/>
          <w:sz w:val="20"/>
          <w:szCs w:val="20"/>
        </w:rPr>
      </w:pPr>
      <w:r w:rsidRPr="00EC1B14">
        <w:rPr>
          <w:rFonts w:ascii="Arial" w:hAnsi="Arial" w:cs="Arial"/>
          <w:b/>
          <w:sz w:val="20"/>
          <w:szCs w:val="20"/>
        </w:rPr>
        <w:t xml:space="preserve">Source: </w:t>
      </w:r>
      <w:r w:rsidRPr="00EC1B14">
        <w:rPr>
          <w:rFonts w:ascii="Arial" w:hAnsi="Arial" w:cs="Arial"/>
          <w:sz w:val="20"/>
          <w:szCs w:val="20"/>
        </w:rPr>
        <w:t>Adapted from World Bank. 2023. Country Climate and Development Report.</w:t>
      </w:r>
    </w:p>
    <w:p w14:paraId="1BA57285" w14:textId="77777777" w:rsidR="00295938" w:rsidRPr="00EC1B14" w:rsidRDefault="00295938" w:rsidP="00D25F24">
      <w:pPr>
        <w:spacing w:line="240" w:lineRule="auto"/>
        <w:rPr>
          <w:rFonts w:ascii="Arial" w:hAnsi="Arial" w:cs="Arial"/>
          <w:b/>
          <w:sz w:val="20"/>
          <w:szCs w:val="20"/>
        </w:rPr>
      </w:pPr>
    </w:p>
    <w:p w14:paraId="087A805A" w14:textId="56677ECA" w:rsidR="00E64C45" w:rsidRPr="00EC1B14" w:rsidRDefault="70F695C3" w:rsidP="00D25F24">
      <w:pPr>
        <w:pStyle w:val="Heading2"/>
        <w:spacing w:line="240" w:lineRule="auto"/>
        <w:rPr>
          <w:rFonts w:ascii="Arial" w:hAnsi="Arial" w:cs="Arial"/>
          <w:b/>
          <w:bCs/>
          <w:color w:val="auto"/>
          <w:sz w:val="24"/>
          <w:szCs w:val="24"/>
        </w:rPr>
      </w:pPr>
      <w:bookmarkStart w:id="25" w:name="_Toc171906997"/>
      <w:r w:rsidRPr="00EC1B14">
        <w:rPr>
          <w:rFonts w:ascii="Arial" w:hAnsi="Arial" w:cs="Arial"/>
          <w:b/>
          <w:bCs/>
          <w:color w:val="auto"/>
          <w:sz w:val="24"/>
          <w:szCs w:val="24"/>
        </w:rPr>
        <w:t>Regional Interaction of Physical Risks in Kenya</w:t>
      </w:r>
      <w:bookmarkEnd w:id="25"/>
    </w:p>
    <w:p w14:paraId="10BE01DF" w14:textId="73D08A55" w:rsidR="00E64C45" w:rsidRPr="00EC1B14" w:rsidRDefault="00E64C45" w:rsidP="00D25F24">
      <w:pPr>
        <w:spacing w:before="120" w:afterLines="120" w:after="288" w:line="240" w:lineRule="auto"/>
        <w:jc w:val="both"/>
        <w:rPr>
          <w:rFonts w:ascii="Arial" w:hAnsi="Arial" w:cs="Arial"/>
        </w:rPr>
      </w:pPr>
      <w:r w:rsidRPr="00EC1B14">
        <w:rPr>
          <w:rFonts w:ascii="Arial" w:hAnsi="Arial" w:cs="Arial"/>
        </w:rPr>
        <w:t xml:space="preserve">Kenya's geographical diversity leads to varied regional susceptibilities to </w:t>
      </w:r>
      <w:r w:rsidR="002151E5" w:rsidRPr="00EC1B14">
        <w:rPr>
          <w:rFonts w:ascii="Arial" w:hAnsi="Arial" w:cs="Arial"/>
        </w:rPr>
        <w:t>climate physical risks</w:t>
      </w:r>
      <w:r w:rsidRPr="00EC1B14">
        <w:rPr>
          <w:rFonts w:ascii="Arial" w:hAnsi="Arial" w:cs="Arial"/>
        </w:rPr>
        <w:t xml:space="preserve">. Coastal areas may face challenges related to </w:t>
      </w:r>
      <w:r w:rsidR="00C459A6" w:rsidRPr="00EC1B14">
        <w:rPr>
          <w:rFonts w:ascii="Arial" w:hAnsi="Arial" w:cs="Arial"/>
        </w:rPr>
        <w:t>rising sea levels</w:t>
      </w:r>
      <w:r w:rsidRPr="00EC1B14">
        <w:rPr>
          <w:rFonts w:ascii="Arial" w:hAnsi="Arial" w:cs="Arial"/>
        </w:rPr>
        <w:t xml:space="preserve"> and increased frequency of storms, while inland regions might experience impacts like droughts or changing agricultural conditions. Understanding these regional nuances is crucial for banks to tailor their risk assessments and lending strategies based on the specific vulnerabilities of the areas in which they operate.</w:t>
      </w:r>
      <w:r w:rsidR="00B2197C" w:rsidRPr="00EC1B14">
        <w:rPr>
          <w:rFonts w:ascii="Arial" w:hAnsi="Arial" w:cs="Arial"/>
        </w:rPr>
        <w:t xml:space="preserve"> </w:t>
      </w:r>
      <w:r w:rsidRPr="00EC1B14">
        <w:rPr>
          <w:rFonts w:ascii="Arial" w:hAnsi="Arial" w:cs="Arial"/>
        </w:rPr>
        <w:t xml:space="preserve">The illustrative table below </w:t>
      </w:r>
      <w:r w:rsidR="00373420" w:rsidRPr="00EC1B14">
        <w:rPr>
          <w:rFonts w:ascii="Arial" w:hAnsi="Arial" w:cs="Arial"/>
        </w:rPr>
        <w:t>broadly describes</w:t>
      </w:r>
      <w:r w:rsidRPr="00EC1B14">
        <w:rPr>
          <w:rFonts w:ascii="Arial" w:hAnsi="Arial" w:cs="Arial"/>
        </w:rPr>
        <w:t xml:space="preserve"> </w:t>
      </w:r>
      <w:r w:rsidR="00C459A6" w:rsidRPr="00EC1B14">
        <w:rPr>
          <w:rFonts w:ascii="Arial" w:hAnsi="Arial" w:cs="Arial"/>
        </w:rPr>
        <w:t>each region's likely challenges</w:t>
      </w:r>
      <w:r w:rsidRPr="00EC1B14">
        <w:rPr>
          <w:rFonts w:ascii="Arial" w:hAnsi="Arial" w:cs="Arial"/>
        </w:rPr>
        <w:t xml:space="preserve">. </w:t>
      </w:r>
    </w:p>
    <w:p w14:paraId="645A76B1" w14:textId="5D6D5878" w:rsidR="00E64C45" w:rsidRPr="00EC1B14" w:rsidRDefault="00E64C45" w:rsidP="00D25F24">
      <w:pPr>
        <w:pStyle w:val="Caption"/>
        <w:spacing w:before="120" w:afterLines="120" w:after="288"/>
        <w:rPr>
          <w:rFonts w:ascii="Arial" w:hAnsi="Arial" w:cs="Arial"/>
          <w:b/>
          <w:bCs/>
          <w:i w:val="0"/>
          <w:color w:val="auto"/>
          <w:sz w:val="20"/>
        </w:rPr>
      </w:pPr>
      <w:bookmarkStart w:id="26" w:name="_Toc157522248"/>
      <w:bookmarkStart w:id="27" w:name="_Toc171907018"/>
      <w:r w:rsidRPr="00EC1B14">
        <w:rPr>
          <w:rFonts w:ascii="Arial" w:hAnsi="Arial" w:cs="Arial"/>
          <w:b/>
          <w:bCs/>
          <w:i w:val="0"/>
          <w:color w:val="auto"/>
          <w:sz w:val="20"/>
        </w:rPr>
        <w:t xml:space="preserve">Table </w:t>
      </w:r>
      <w:r w:rsidRPr="00EC1B14">
        <w:rPr>
          <w:rFonts w:ascii="Arial" w:hAnsi="Arial" w:cs="Arial"/>
          <w:b/>
          <w:bCs/>
          <w:i w:val="0"/>
          <w:color w:val="auto"/>
          <w:sz w:val="20"/>
        </w:rPr>
        <w:fldChar w:fldCharType="begin"/>
      </w:r>
      <w:r w:rsidRPr="00EC1B14">
        <w:rPr>
          <w:rFonts w:ascii="Arial" w:hAnsi="Arial" w:cs="Arial"/>
          <w:b/>
          <w:bCs/>
          <w:i w:val="0"/>
          <w:iCs w:val="0"/>
          <w:color w:val="auto"/>
          <w:sz w:val="20"/>
          <w:szCs w:val="20"/>
        </w:rPr>
        <w:instrText xml:space="preserve"> SEQ Table \* ARABIC </w:instrText>
      </w:r>
      <w:r w:rsidRPr="00EC1B14">
        <w:rPr>
          <w:rFonts w:ascii="Arial" w:hAnsi="Arial" w:cs="Arial"/>
          <w:b/>
          <w:bCs/>
          <w:i w:val="0"/>
          <w:color w:val="auto"/>
          <w:sz w:val="20"/>
        </w:rPr>
        <w:fldChar w:fldCharType="separate"/>
      </w:r>
      <w:r w:rsidR="00FD6222">
        <w:rPr>
          <w:rFonts w:ascii="Arial" w:hAnsi="Arial" w:cs="Arial"/>
          <w:b/>
          <w:bCs/>
          <w:i w:val="0"/>
          <w:iCs w:val="0"/>
          <w:noProof/>
          <w:color w:val="auto"/>
          <w:sz w:val="20"/>
          <w:szCs w:val="20"/>
        </w:rPr>
        <w:t>4</w:t>
      </w:r>
      <w:r w:rsidRPr="00EC1B14">
        <w:rPr>
          <w:rFonts w:ascii="Arial" w:hAnsi="Arial" w:cs="Arial"/>
          <w:b/>
          <w:bCs/>
          <w:i w:val="0"/>
          <w:color w:val="auto"/>
          <w:sz w:val="20"/>
        </w:rPr>
        <w:fldChar w:fldCharType="end"/>
      </w:r>
      <w:r w:rsidRPr="00EC1B14">
        <w:rPr>
          <w:rFonts w:ascii="Arial" w:hAnsi="Arial" w:cs="Arial"/>
          <w:b/>
          <w:bCs/>
          <w:i w:val="0"/>
          <w:color w:val="auto"/>
          <w:sz w:val="20"/>
        </w:rPr>
        <w:t>: Regions and their potential impacts</w:t>
      </w:r>
      <w:bookmarkEnd w:id="26"/>
      <w:bookmarkEnd w:id="27"/>
    </w:p>
    <w:tbl>
      <w:tblPr>
        <w:tblStyle w:val="TableGrid"/>
        <w:tblW w:w="9195" w:type="dxa"/>
        <w:tblLook w:val="04A0" w:firstRow="1" w:lastRow="0" w:firstColumn="1" w:lastColumn="0" w:noHBand="0" w:noVBand="1"/>
      </w:tblPr>
      <w:tblGrid>
        <w:gridCol w:w="2047"/>
        <w:gridCol w:w="4214"/>
        <w:gridCol w:w="2934"/>
      </w:tblGrid>
      <w:tr w:rsidR="007E1EE6" w:rsidRPr="00EC1B14" w14:paraId="33CF7314" w14:textId="77777777" w:rsidTr="005E6259">
        <w:trPr>
          <w:tblHeader/>
        </w:trPr>
        <w:tc>
          <w:tcPr>
            <w:tcW w:w="0" w:type="auto"/>
            <w:shd w:val="clear" w:color="auto" w:fill="BFBFBF" w:themeFill="background1" w:themeFillShade="BF"/>
            <w:hideMark/>
          </w:tcPr>
          <w:p w14:paraId="7D88445B" w14:textId="77777777" w:rsidR="00E64C45" w:rsidRPr="00EC1B14" w:rsidRDefault="00E64C45" w:rsidP="00D25F24">
            <w:pPr>
              <w:pStyle w:val="NoSpacing"/>
              <w:jc w:val="center"/>
              <w:rPr>
                <w:rFonts w:ascii="Arial" w:hAnsi="Arial" w:cs="Arial"/>
                <w:b/>
                <w:bCs/>
                <w:sz w:val="20"/>
                <w:szCs w:val="20"/>
              </w:rPr>
            </w:pPr>
            <w:r w:rsidRPr="00EC1B14">
              <w:rPr>
                <w:rFonts w:ascii="Arial" w:hAnsi="Arial" w:cs="Arial"/>
                <w:b/>
                <w:bCs/>
                <w:sz w:val="20"/>
                <w:szCs w:val="20"/>
              </w:rPr>
              <w:t>Region Impacts</w:t>
            </w:r>
          </w:p>
        </w:tc>
        <w:tc>
          <w:tcPr>
            <w:tcW w:w="0" w:type="auto"/>
            <w:shd w:val="clear" w:color="auto" w:fill="BFBFBF" w:themeFill="background1" w:themeFillShade="BF"/>
            <w:hideMark/>
          </w:tcPr>
          <w:p w14:paraId="6FB35203" w14:textId="77777777" w:rsidR="00E64C45" w:rsidRPr="00EC1B14" w:rsidRDefault="00E64C45" w:rsidP="00D25F24">
            <w:pPr>
              <w:pStyle w:val="NoSpacing"/>
              <w:jc w:val="center"/>
              <w:rPr>
                <w:rFonts w:ascii="Arial" w:hAnsi="Arial" w:cs="Arial"/>
                <w:b/>
                <w:bCs/>
                <w:sz w:val="20"/>
                <w:szCs w:val="20"/>
              </w:rPr>
            </w:pPr>
            <w:r w:rsidRPr="00EC1B14">
              <w:rPr>
                <w:rFonts w:ascii="Arial" w:hAnsi="Arial" w:cs="Arial"/>
                <w:b/>
                <w:bCs/>
                <w:sz w:val="20"/>
                <w:szCs w:val="20"/>
              </w:rPr>
              <w:t>Physical Climate Risks</w:t>
            </w:r>
          </w:p>
        </w:tc>
        <w:tc>
          <w:tcPr>
            <w:tcW w:w="0" w:type="auto"/>
            <w:shd w:val="clear" w:color="auto" w:fill="BFBFBF" w:themeFill="background1" w:themeFillShade="BF"/>
            <w:hideMark/>
          </w:tcPr>
          <w:p w14:paraId="4D5E4024" w14:textId="64317F63" w:rsidR="00E64C45" w:rsidRPr="00EC1B14" w:rsidRDefault="00E64C45" w:rsidP="00D25F24">
            <w:pPr>
              <w:pStyle w:val="NoSpacing"/>
              <w:jc w:val="center"/>
              <w:rPr>
                <w:rFonts w:ascii="Arial" w:hAnsi="Arial" w:cs="Arial"/>
                <w:b/>
                <w:bCs/>
                <w:sz w:val="20"/>
                <w:szCs w:val="20"/>
              </w:rPr>
            </w:pPr>
            <w:r w:rsidRPr="00EC1B14">
              <w:rPr>
                <w:rFonts w:ascii="Arial" w:hAnsi="Arial" w:cs="Arial"/>
                <w:b/>
                <w:bCs/>
                <w:sz w:val="20"/>
                <w:szCs w:val="20"/>
              </w:rPr>
              <w:t xml:space="preserve">Impacts </w:t>
            </w:r>
            <w:r w:rsidR="00C459A6" w:rsidRPr="00EC1B14">
              <w:rPr>
                <w:rFonts w:ascii="Arial" w:hAnsi="Arial" w:cs="Arial"/>
                <w:b/>
                <w:bCs/>
                <w:sz w:val="20"/>
                <w:szCs w:val="20"/>
              </w:rPr>
              <w:t>on</w:t>
            </w:r>
            <w:r w:rsidRPr="00EC1B14">
              <w:rPr>
                <w:rFonts w:ascii="Arial" w:hAnsi="Arial" w:cs="Arial"/>
                <w:b/>
                <w:bCs/>
                <w:sz w:val="20"/>
                <w:szCs w:val="20"/>
              </w:rPr>
              <w:t xml:space="preserve"> specific regions</w:t>
            </w:r>
          </w:p>
        </w:tc>
      </w:tr>
      <w:tr w:rsidR="007E1EE6" w:rsidRPr="00EC1B14" w14:paraId="029171F6" w14:textId="77777777" w:rsidTr="002D0F97">
        <w:tc>
          <w:tcPr>
            <w:tcW w:w="0" w:type="auto"/>
            <w:hideMark/>
          </w:tcPr>
          <w:p w14:paraId="387EA37A" w14:textId="2334F356" w:rsidR="00E64C45" w:rsidRPr="00EC1B14" w:rsidRDefault="00E64C45" w:rsidP="00D25F24">
            <w:pPr>
              <w:pStyle w:val="NoSpacing"/>
              <w:rPr>
                <w:rFonts w:ascii="Arial" w:hAnsi="Arial" w:cs="Arial"/>
                <w:sz w:val="20"/>
                <w:szCs w:val="20"/>
              </w:rPr>
            </w:pPr>
            <w:r w:rsidRPr="00EC1B14">
              <w:rPr>
                <w:rFonts w:ascii="Arial" w:hAnsi="Arial" w:cs="Arial"/>
                <w:sz w:val="20"/>
                <w:szCs w:val="20"/>
              </w:rPr>
              <w:t>Coastal Regions</w:t>
            </w:r>
            <w:r w:rsidR="003E35A7" w:rsidRPr="00EC1B14">
              <w:rPr>
                <w:rFonts w:ascii="Arial" w:hAnsi="Arial" w:cs="Arial"/>
                <w:sz w:val="20"/>
                <w:szCs w:val="20"/>
              </w:rPr>
              <w:t xml:space="preserve">      </w:t>
            </w:r>
            <w:r w:rsidRPr="00EC1B14">
              <w:rPr>
                <w:rFonts w:ascii="Arial" w:hAnsi="Arial" w:cs="Arial"/>
                <w:sz w:val="20"/>
                <w:szCs w:val="20"/>
              </w:rPr>
              <w:t xml:space="preserve"> </w:t>
            </w:r>
          </w:p>
        </w:tc>
        <w:tc>
          <w:tcPr>
            <w:tcW w:w="0" w:type="auto"/>
            <w:hideMark/>
          </w:tcPr>
          <w:p w14:paraId="6D5257A9" w14:textId="77777777"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Sea-level rise and storm surges</w:t>
            </w:r>
          </w:p>
          <w:p w14:paraId="0AF9CE28" w14:textId="77777777"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Flooding</w:t>
            </w:r>
          </w:p>
          <w:p w14:paraId="2C668D67" w14:textId="3C1F4744"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Property damage, infrastructure vulnerability</w:t>
            </w:r>
          </w:p>
          <w:p w14:paraId="754B7D16" w14:textId="1A6C0A9A"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Coastal Erosion</w:t>
            </w:r>
          </w:p>
        </w:tc>
        <w:tc>
          <w:tcPr>
            <w:tcW w:w="0" w:type="auto"/>
            <w:hideMark/>
          </w:tcPr>
          <w:p w14:paraId="6C0A9892" w14:textId="77777777"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Mombasa</w:t>
            </w:r>
          </w:p>
          <w:p w14:paraId="6D8C0250" w14:textId="77777777"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Lamu</w:t>
            </w:r>
          </w:p>
          <w:p w14:paraId="2F4198D8" w14:textId="32FD80D0"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Malindi</w:t>
            </w:r>
          </w:p>
        </w:tc>
      </w:tr>
      <w:tr w:rsidR="007E1EE6" w:rsidRPr="00EC1B14" w14:paraId="6C9EE1AE" w14:textId="77777777" w:rsidTr="002D0F97">
        <w:tc>
          <w:tcPr>
            <w:tcW w:w="0" w:type="auto"/>
            <w:hideMark/>
          </w:tcPr>
          <w:p w14:paraId="20CD9587" w14:textId="7446CA5D" w:rsidR="00E64C45" w:rsidRPr="00EC1B14" w:rsidRDefault="00E64C45" w:rsidP="00D25F24">
            <w:pPr>
              <w:pStyle w:val="NoSpacing"/>
              <w:rPr>
                <w:rFonts w:ascii="Arial" w:hAnsi="Arial" w:cs="Arial"/>
                <w:sz w:val="20"/>
                <w:szCs w:val="20"/>
              </w:rPr>
            </w:pPr>
            <w:r w:rsidRPr="00EC1B14">
              <w:rPr>
                <w:rFonts w:ascii="Arial" w:hAnsi="Arial" w:cs="Arial"/>
                <w:sz w:val="20"/>
                <w:szCs w:val="20"/>
              </w:rPr>
              <w:t>Arid and Semi-Arid Regions</w:t>
            </w:r>
            <w:r w:rsidR="003E35A7" w:rsidRPr="00EC1B14">
              <w:rPr>
                <w:rFonts w:ascii="Arial" w:hAnsi="Arial" w:cs="Arial"/>
                <w:sz w:val="20"/>
                <w:szCs w:val="20"/>
              </w:rPr>
              <w:t xml:space="preserve"> </w:t>
            </w:r>
          </w:p>
        </w:tc>
        <w:tc>
          <w:tcPr>
            <w:tcW w:w="0" w:type="auto"/>
            <w:hideMark/>
          </w:tcPr>
          <w:p w14:paraId="09EE2780" w14:textId="5534D501"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Increased frequency and intensity of droughts</w:t>
            </w:r>
          </w:p>
          <w:p w14:paraId="106E209C" w14:textId="26102774"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Agricultural productivity decline, water supply shortages</w:t>
            </w:r>
          </w:p>
        </w:tc>
        <w:tc>
          <w:tcPr>
            <w:tcW w:w="0" w:type="auto"/>
            <w:hideMark/>
          </w:tcPr>
          <w:p w14:paraId="6BE5C29B" w14:textId="77777777"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Turkana</w:t>
            </w:r>
          </w:p>
          <w:p w14:paraId="6867AE84" w14:textId="72F172BC"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Mandera</w:t>
            </w:r>
            <w:r w:rsidR="003E35A7" w:rsidRPr="00EC1B14">
              <w:rPr>
                <w:rFonts w:ascii="Arial" w:hAnsi="Arial" w:cs="Arial"/>
                <w:sz w:val="20"/>
                <w:szCs w:val="20"/>
              </w:rPr>
              <w:t xml:space="preserve"> </w:t>
            </w:r>
            <w:r w:rsidRPr="00EC1B14">
              <w:rPr>
                <w:rFonts w:ascii="Arial" w:hAnsi="Arial" w:cs="Arial"/>
                <w:sz w:val="20"/>
                <w:szCs w:val="20"/>
              </w:rPr>
              <w:t xml:space="preserve"> </w:t>
            </w:r>
          </w:p>
        </w:tc>
      </w:tr>
      <w:tr w:rsidR="007E1EE6" w:rsidRPr="00EC1B14" w14:paraId="252FEFFF" w14:textId="77777777" w:rsidTr="002D0F97">
        <w:tc>
          <w:tcPr>
            <w:tcW w:w="0" w:type="auto"/>
            <w:hideMark/>
          </w:tcPr>
          <w:p w14:paraId="2644C759" w14:textId="37BE79B4" w:rsidR="00E64C45" w:rsidRPr="00EC1B14" w:rsidRDefault="00E64C45" w:rsidP="00D25F24">
            <w:pPr>
              <w:pStyle w:val="NoSpacing"/>
              <w:rPr>
                <w:rFonts w:ascii="Arial" w:hAnsi="Arial" w:cs="Arial"/>
                <w:sz w:val="20"/>
                <w:szCs w:val="20"/>
              </w:rPr>
            </w:pPr>
            <w:r w:rsidRPr="00EC1B14">
              <w:rPr>
                <w:rFonts w:ascii="Arial" w:hAnsi="Arial" w:cs="Arial"/>
                <w:sz w:val="20"/>
                <w:szCs w:val="20"/>
              </w:rPr>
              <w:t>Highland Regions</w:t>
            </w:r>
            <w:r w:rsidR="003E35A7" w:rsidRPr="00EC1B14">
              <w:rPr>
                <w:rFonts w:ascii="Arial" w:hAnsi="Arial" w:cs="Arial"/>
                <w:sz w:val="20"/>
                <w:szCs w:val="20"/>
              </w:rPr>
              <w:t xml:space="preserve">      </w:t>
            </w:r>
          </w:p>
        </w:tc>
        <w:tc>
          <w:tcPr>
            <w:tcW w:w="0" w:type="auto"/>
            <w:hideMark/>
          </w:tcPr>
          <w:p w14:paraId="37A073FB" w14:textId="0614D36E"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Changes in precipitation patterns, extreme rainfall</w:t>
            </w:r>
            <w:r w:rsidR="003E35A7" w:rsidRPr="00EC1B14">
              <w:rPr>
                <w:rFonts w:ascii="Arial" w:hAnsi="Arial" w:cs="Arial"/>
                <w:sz w:val="20"/>
                <w:szCs w:val="20"/>
              </w:rPr>
              <w:t xml:space="preserve">  </w:t>
            </w:r>
          </w:p>
          <w:p w14:paraId="218E2513" w14:textId="3CDAD9A3" w:rsidR="00647A6A"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Landslides, soil erosion, disruption to agriculture</w:t>
            </w:r>
          </w:p>
        </w:tc>
        <w:tc>
          <w:tcPr>
            <w:tcW w:w="0" w:type="auto"/>
            <w:hideMark/>
          </w:tcPr>
          <w:p w14:paraId="653108EA" w14:textId="77777777"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Central Kenya</w:t>
            </w:r>
          </w:p>
        </w:tc>
      </w:tr>
      <w:tr w:rsidR="007E1EE6" w:rsidRPr="00EC1B14" w14:paraId="145A556A" w14:textId="77777777" w:rsidTr="002D0F97">
        <w:tc>
          <w:tcPr>
            <w:tcW w:w="0" w:type="auto"/>
            <w:hideMark/>
          </w:tcPr>
          <w:p w14:paraId="3B16CE32" w14:textId="1C0A9F85" w:rsidR="00E64C45" w:rsidRPr="00EC1B14" w:rsidRDefault="00E64C45" w:rsidP="00D25F24">
            <w:pPr>
              <w:pStyle w:val="NoSpacing"/>
              <w:rPr>
                <w:rFonts w:ascii="Arial" w:hAnsi="Arial" w:cs="Arial"/>
                <w:sz w:val="20"/>
                <w:szCs w:val="20"/>
              </w:rPr>
            </w:pPr>
            <w:r w:rsidRPr="00EC1B14">
              <w:rPr>
                <w:rFonts w:ascii="Arial" w:hAnsi="Arial" w:cs="Arial"/>
                <w:sz w:val="20"/>
                <w:szCs w:val="20"/>
              </w:rPr>
              <w:t>Rift Valley Region</w:t>
            </w:r>
            <w:r w:rsidR="003E35A7" w:rsidRPr="00EC1B14">
              <w:rPr>
                <w:rFonts w:ascii="Arial" w:hAnsi="Arial" w:cs="Arial"/>
                <w:sz w:val="20"/>
                <w:szCs w:val="20"/>
              </w:rPr>
              <w:t xml:space="preserve">     </w:t>
            </w:r>
          </w:p>
        </w:tc>
        <w:tc>
          <w:tcPr>
            <w:tcW w:w="0" w:type="auto"/>
            <w:hideMark/>
          </w:tcPr>
          <w:p w14:paraId="74F135B8" w14:textId="2B3F4930"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Increased temperature, changes in water availability</w:t>
            </w:r>
            <w:r w:rsidR="003E35A7" w:rsidRPr="00EC1B14">
              <w:rPr>
                <w:rFonts w:ascii="Arial" w:hAnsi="Arial" w:cs="Arial"/>
                <w:sz w:val="20"/>
                <w:szCs w:val="20"/>
              </w:rPr>
              <w:t xml:space="preserve">  </w:t>
            </w:r>
          </w:p>
          <w:p w14:paraId="64A6C0B6" w14:textId="77777777"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Shifts in agricultural suitability.</w:t>
            </w:r>
          </w:p>
          <w:p w14:paraId="0585D0E1" w14:textId="4A3EBD1C" w:rsidR="004E6961" w:rsidRPr="00EC1B14" w:rsidRDefault="00E64C45" w:rsidP="00832BA0">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Potential / Actual crop failures</w:t>
            </w:r>
          </w:p>
          <w:p w14:paraId="6C3C0378" w14:textId="63E9BFE0" w:rsidR="00832BA0" w:rsidRPr="00EC1B14" w:rsidRDefault="004E6961" w:rsidP="00832BA0">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Landslides, soil erosion, disruption to agriculture</w:t>
            </w:r>
            <w:r w:rsidRPr="00EC1B14" w:rsidDel="004E6961">
              <w:rPr>
                <w:rFonts w:ascii="Arial" w:hAnsi="Arial" w:cs="Arial"/>
                <w:sz w:val="20"/>
                <w:szCs w:val="20"/>
              </w:rPr>
              <w:t xml:space="preserve"> </w:t>
            </w:r>
          </w:p>
        </w:tc>
        <w:tc>
          <w:tcPr>
            <w:tcW w:w="0" w:type="auto"/>
            <w:hideMark/>
          </w:tcPr>
          <w:p w14:paraId="555E0E60" w14:textId="1EC24927"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Agricultural crop production areas, in general</w:t>
            </w:r>
          </w:p>
        </w:tc>
      </w:tr>
      <w:tr w:rsidR="007E1EE6" w:rsidRPr="00EC1B14" w14:paraId="677C550D" w14:textId="77777777" w:rsidTr="002D0F97">
        <w:tc>
          <w:tcPr>
            <w:tcW w:w="0" w:type="auto"/>
            <w:hideMark/>
          </w:tcPr>
          <w:p w14:paraId="688B837F" w14:textId="11803DC6" w:rsidR="00E64C45" w:rsidRPr="00EC1B14" w:rsidRDefault="00E64C45" w:rsidP="00D25F24">
            <w:pPr>
              <w:pStyle w:val="NoSpacing"/>
              <w:rPr>
                <w:rFonts w:ascii="Arial" w:hAnsi="Arial" w:cs="Arial"/>
                <w:sz w:val="20"/>
                <w:szCs w:val="20"/>
              </w:rPr>
            </w:pPr>
            <w:r w:rsidRPr="00EC1B14">
              <w:rPr>
                <w:rFonts w:ascii="Arial" w:hAnsi="Arial" w:cs="Arial"/>
                <w:sz w:val="20"/>
                <w:szCs w:val="20"/>
              </w:rPr>
              <w:t>Urban and Semi-Urban Areas</w:t>
            </w:r>
            <w:r w:rsidR="003E35A7" w:rsidRPr="00EC1B14">
              <w:rPr>
                <w:rFonts w:ascii="Arial" w:hAnsi="Arial" w:cs="Arial"/>
                <w:sz w:val="20"/>
                <w:szCs w:val="20"/>
              </w:rPr>
              <w:t xml:space="preserve"> </w:t>
            </w:r>
            <w:r w:rsidRPr="00EC1B14">
              <w:rPr>
                <w:rFonts w:ascii="Arial" w:hAnsi="Arial" w:cs="Arial"/>
                <w:sz w:val="20"/>
                <w:szCs w:val="20"/>
              </w:rPr>
              <w:t xml:space="preserve"> </w:t>
            </w:r>
          </w:p>
        </w:tc>
        <w:tc>
          <w:tcPr>
            <w:tcW w:w="0" w:type="auto"/>
            <w:hideMark/>
          </w:tcPr>
          <w:p w14:paraId="4B407D9F" w14:textId="77777777"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Urban heat island effect, extreme weather events, flooding</w:t>
            </w:r>
          </w:p>
          <w:p w14:paraId="0420187A" w14:textId="039C4D19" w:rsidR="00647A6A"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Infrastructure damage, increased demand for energy</w:t>
            </w:r>
          </w:p>
        </w:tc>
        <w:tc>
          <w:tcPr>
            <w:tcW w:w="0" w:type="auto"/>
            <w:hideMark/>
          </w:tcPr>
          <w:p w14:paraId="5E57C062" w14:textId="4CBE919D"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Nairobi</w:t>
            </w:r>
          </w:p>
        </w:tc>
      </w:tr>
      <w:tr w:rsidR="007E1EE6" w:rsidRPr="00EC1B14" w14:paraId="6313711D" w14:textId="77777777" w:rsidTr="002D0F97">
        <w:tc>
          <w:tcPr>
            <w:tcW w:w="0" w:type="auto"/>
            <w:hideMark/>
          </w:tcPr>
          <w:p w14:paraId="27D7D1AE" w14:textId="7CCE258C" w:rsidR="00E64C45" w:rsidRPr="00EC1B14" w:rsidRDefault="00E64C45" w:rsidP="00D25F24">
            <w:pPr>
              <w:pStyle w:val="NoSpacing"/>
              <w:rPr>
                <w:rFonts w:ascii="Arial" w:hAnsi="Arial" w:cs="Arial"/>
                <w:sz w:val="20"/>
                <w:szCs w:val="20"/>
              </w:rPr>
            </w:pPr>
            <w:r w:rsidRPr="00EC1B14">
              <w:rPr>
                <w:rFonts w:ascii="Arial" w:hAnsi="Arial" w:cs="Arial"/>
                <w:sz w:val="20"/>
                <w:szCs w:val="20"/>
              </w:rPr>
              <w:t>Lake Victoria Basin</w:t>
            </w:r>
            <w:r w:rsidR="003E35A7" w:rsidRPr="00EC1B14">
              <w:rPr>
                <w:rFonts w:ascii="Arial" w:hAnsi="Arial" w:cs="Arial"/>
                <w:sz w:val="20"/>
                <w:szCs w:val="20"/>
              </w:rPr>
              <w:t xml:space="preserve">    </w:t>
            </w:r>
            <w:r w:rsidRPr="00EC1B14">
              <w:rPr>
                <w:rFonts w:ascii="Arial" w:hAnsi="Arial" w:cs="Arial"/>
                <w:sz w:val="20"/>
                <w:szCs w:val="20"/>
              </w:rPr>
              <w:t xml:space="preserve"> </w:t>
            </w:r>
          </w:p>
        </w:tc>
        <w:tc>
          <w:tcPr>
            <w:tcW w:w="0" w:type="auto"/>
            <w:hideMark/>
          </w:tcPr>
          <w:p w14:paraId="1D93C0A7" w14:textId="77777777"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Changes in lake water levels and temperature</w:t>
            </w:r>
          </w:p>
          <w:p w14:paraId="52CC8C5A" w14:textId="77777777"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Disruptions to fishing, changes in ecosystems</w:t>
            </w:r>
          </w:p>
          <w:p w14:paraId="4852823C" w14:textId="2BF776C2" w:rsidR="00692BBB" w:rsidRPr="00EC1B14" w:rsidRDefault="00692BBB"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Flooding</w:t>
            </w:r>
          </w:p>
        </w:tc>
        <w:tc>
          <w:tcPr>
            <w:tcW w:w="0" w:type="auto"/>
            <w:hideMark/>
          </w:tcPr>
          <w:p w14:paraId="205B2126" w14:textId="5F608EF3"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Regions surrounding Lake Victoria</w:t>
            </w:r>
            <w:r w:rsidR="003E35A7" w:rsidRPr="00EC1B14">
              <w:rPr>
                <w:rFonts w:ascii="Arial" w:hAnsi="Arial" w:cs="Arial"/>
                <w:sz w:val="20"/>
                <w:szCs w:val="20"/>
              </w:rPr>
              <w:t xml:space="preserve"> </w:t>
            </w:r>
          </w:p>
        </w:tc>
      </w:tr>
      <w:tr w:rsidR="007E1EE6" w:rsidRPr="00EC1B14" w14:paraId="2B9979F4" w14:textId="77777777" w:rsidTr="002D0F97">
        <w:tc>
          <w:tcPr>
            <w:tcW w:w="0" w:type="auto"/>
            <w:hideMark/>
          </w:tcPr>
          <w:p w14:paraId="7BE75C38" w14:textId="001DB955" w:rsidR="00E64C45" w:rsidRPr="00EC1B14" w:rsidRDefault="00E64C45" w:rsidP="00D25F24">
            <w:pPr>
              <w:pStyle w:val="NoSpacing"/>
              <w:rPr>
                <w:rFonts w:ascii="Arial" w:hAnsi="Arial" w:cs="Arial"/>
                <w:sz w:val="20"/>
                <w:szCs w:val="20"/>
              </w:rPr>
            </w:pPr>
            <w:r w:rsidRPr="00EC1B14">
              <w:rPr>
                <w:rFonts w:ascii="Arial" w:hAnsi="Arial" w:cs="Arial"/>
                <w:sz w:val="20"/>
                <w:szCs w:val="20"/>
              </w:rPr>
              <w:t>Forested Regions</w:t>
            </w:r>
          </w:p>
        </w:tc>
        <w:tc>
          <w:tcPr>
            <w:tcW w:w="0" w:type="auto"/>
            <w:hideMark/>
          </w:tcPr>
          <w:p w14:paraId="75C9C5C1" w14:textId="77777777"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Changes in temperature and precipitation, increased wildfires</w:t>
            </w:r>
          </w:p>
          <w:p w14:paraId="58B46F3A" w14:textId="469990A8" w:rsidR="00E64C45" w:rsidRPr="00EC1B14" w:rsidRDefault="00E64C45" w:rsidP="00D25F24">
            <w:pPr>
              <w:pStyle w:val="NoSpacing"/>
              <w:numPr>
                <w:ilvl w:val="0"/>
                <w:numId w:val="4"/>
              </w:numPr>
              <w:ind w:left="406" w:hanging="332"/>
              <w:jc w:val="both"/>
              <w:rPr>
                <w:rFonts w:ascii="Arial" w:hAnsi="Arial" w:cs="Arial"/>
                <w:sz w:val="20"/>
                <w:szCs w:val="20"/>
              </w:rPr>
            </w:pPr>
            <w:r w:rsidRPr="00EC1B14">
              <w:rPr>
                <w:rFonts w:ascii="Arial" w:hAnsi="Arial" w:cs="Arial"/>
                <w:sz w:val="20"/>
                <w:szCs w:val="20"/>
              </w:rPr>
              <w:t>Loss of biodiversity, changes in ecosystem services</w:t>
            </w:r>
          </w:p>
        </w:tc>
        <w:tc>
          <w:tcPr>
            <w:tcW w:w="0" w:type="auto"/>
            <w:hideMark/>
          </w:tcPr>
          <w:p w14:paraId="1D1BF67D" w14:textId="77777777"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The Aberdare</w:t>
            </w:r>
          </w:p>
          <w:p w14:paraId="54CBDAE6" w14:textId="134730D4" w:rsidR="00E64C45" w:rsidRPr="00EC1B14" w:rsidRDefault="00E64C45" w:rsidP="00D25F24">
            <w:pPr>
              <w:pStyle w:val="NoSpacing"/>
              <w:jc w:val="both"/>
              <w:rPr>
                <w:rFonts w:ascii="Arial" w:hAnsi="Arial" w:cs="Arial"/>
                <w:sz w:val="20"/>
                <w:szCs w:val="20"/>
              </w:rPr>
            </w:pPr>
            <w:r w:rsidRPr="00EC1B14">
              <w:rPr>
                <w:rFonts w:ascii="Arial" w:hAnsi="Arial" w:cs="Arial"/>
                <w:sz w:val="20"/>
                <w:szCs w:val="20"/>
              </w:rPr>
              <w:t>Mount Kenya</w:t>
            </w:r>
          </w:p>
        </w:tc>
      </w:tr>
    </w:tbl>
    <w:p w14:paraId="138C67E7" w14:textId="48ABF47B" w:rsidR="000E34CC" w:rsidRPr="00EC1B14" w:rsidRDefault="000E34CC" w:rsidP="000E34CC">
      <w:pPr>
        <w:spacing w:before="120" w:afterLines="120" w:after="288" w:line="240" w:lineRule="auto"/>
        <w:jc w:val="both"/>
        <w:rPr>
          <w:rFonts w:ascii="Arial" w:hAnsi="Arial" w:cs="Arial"/>
          <w:b/>
          <w:bCs/>
          <w:sz w:val="20"/>
          <w:szCs w:val="20"/>
        </w:rPr>
      </w:pPr>
      <w:r w:rsidRPr="00EC1B14">
        <w:rPr>
          <w:rFonts w:ascii="Arial" w:hAnsi="Arial" w:cs="Arial"/>
          <w:b/>
          <w:bCs/>
          <w:sz w:val="20"/>
          <w:szCs w:val="20"/>
        </w:rPr>
        <w:t>Specific Note on Flooding</w:t>
      </w:r>
    </w:p>
    <w:p w14:paraId="5A35D066" w14:textId="58215BDD" w:rsidR="000E34CC" w:rsidRDefault="000E34CC" w:rsidP="000E34CC">
      <w:pPr>
        <w:spacing w:before="120" w:afterLines="120" w:after="288" w:line="240" w:lineRule="auto"/>
        <w:jc w:val="both"/>
        <w:rPr>
          <w:rFonts w:ascii="Arial" w:hAnsi="Arial" w:cs="Arial"/>
          <w:sz w:val="20"/>
          <w:szCs w:val="20"/>
        </w:rPr>
      </w:pPr>
      <w:r w:rsidRPr="00EC1B14">
        <w:rPr>
          <w:rFonts w:ascii="Arial" w:hAnsi="Arial" w:cs="Arial"/>
          <w:sz w:val="20"/>
          <w:szCs w:val="20"/>
        </w:rPr>
        <w:t xml:space="preserve">In 2024, Kenya experienced extreme flooding conditions due to both climate change and a strong El Niño event. These conditions were exacerbated by the first recorded landfall of a tropical cyclone (in its tropical storm state) in Kenya. The combination of these extreme factors created a very rare event. Figure </w:t>
      </w:r>
      <w:r w:rsidR="00EC1B14" w:rsidRPr="00EC1B14">
        <w:rPr>
          <w:rFonts w:ascii="Arial" w:hAnsi="Arial" w:cs="Arial"/>
          <w:sz w:val="20"/>
          <w:szCs w:val="20"/>
        </w:rPr>
        <w:t>6</w:t>
      </w:r>
      <w:r w:rsidRPr="00EC1B14">
        <w:rPr>
          <w:rFonts w:ascii="Arial" w:hAnsi="Arial" w:cs="Arial"/>
          <w:sz w:val="20"/>
          <w:szCs w:val="20"/>
        </w:rPr>
        <w:t xml:space="preserve"> shows the affected regions, which are consistent with those depicted in Figure </w:t>
      </w:r>
      <w:r w:rsidR="00EC1B14" w:rsidRPr="00EC1B14">
        <w:rPr>
          <w:rFonts w:ascii="Arial" w:hAnsi="Arial" w:cs="Arial"/>
          <w:sz w:val="20"/>
          <w:szCs w:val="20"/>
        </w:rPr>
        <w:t>6</w:t>
      </w:r>
      <w:r w:rsidRPr="00EC1B14">
        <w:rPr>
          <w:rFonts w:ascii="Arial" w:hAnsi="Arial" w:cs="Arial"/>
          <w:sz w:val="20"/>
          <w:szCs w:val="20"/>
        </w:rPr>
        <w:t>.</w:t>
      </w:r>
    </w:p>
    <w:p w14:paraId="7E7D2992" w14:textId="1E3F17BC" w:rsidR="00451D53" w:rsidRPr="00451D53" w:rsidRDefault="00451D53" w:rsidP="00451D53">
      <w:pPr>
        <w:pStyle w:val="NoSpacing"/>
        <w:jc w:val="both"/>
        <w:rPr>
          <w:rFonts w:ascii="Calibri" w:eastAsia="Times New Roman" w:hAnsi="Calibri" w:cs="Calibri"/>
          <w:b/>
          <w:bCs/>
          <w:color w:val="ED7D31" w:themeColor="accent2"/>
          <w:kern w:val="0"/>
          <w:sz w:val="24"/>
          <w:szCs w:val="24"/>
          <w:lang w:eastAsia="en-GB"/>
          <w14:ligatures w14:val="none"/>
        </w:rPr>
      </w:pPr>
      <w:bookmarkStart w:id="28" w:name="_Toc175238283"/>
      <w:r w:rsidRPr="0077501D">
        <w:rPr>
          <w:rFonts w:ascii="Calibri" w:eastAsia="Times New Roman" w:hAnsi="Calibri" w:cs="Calibri"/>
          <w:b/>
          <w:bCs/>
          <w:color w:val="ED7D31" w:themeColor="accent2"/>
          <w:kern w:val="0"/>
          <w:sz w:val="24"/>
          <w:szCs w:val="24"/>
          <w:lang w:eastAsia="en-GB"/>
          <w14:ligatures w14:val="none"/>
        </w:rPr>
        <w:t xml:space="preserve">Figure </w:t>
      </w:r>
      <w:r w:rsidRPr="0077501D">
        <w:rPr>
          <w:rFonts w:ascii="Calibri" w:eastAsia="Times New Roman" w:hAnsi="Calibri" w:cs="Calibri"/>
          <w:b/>
          <w:bCs/>
          <w:color w:val="ED7D31" w:themeColor="accent2"/>
          <w:kern w:val="0"/>
          <w:sz w:val="24"/>
          <w:szCs w:val="24"/>
          <w:lang w:eastAsia="en-GB"/>
          <w14:ligatures w14:val="none"/>
        </w:rPr>
        <w:fldChar w:fldCharType="begin"/>
      </w:r>
      <w:r w:rsidRPr="0077501D">
        <w:rPr>
          <w:rFonts w:ascii="Calibri" w:eastAsia="Times New Roman" w:hAnsi="Calibri" w:cs="Calibri"/>
          <w:b/>
          <w:bCs/>
          <w:color w:val="ED7D31" w:themeColor="accent2"/>
          <w:kern w:val="0"/>
          <w:sz w:val="24"/>
          <w:szCs w:val="24"/>
          <w:lang w:eastAsia="en-GB"/>
          <w14:ligatures w14:val="none"/>
        </w:rPr>
        <w:instrText xml:space="preserve"> SEQ Figure \* ARABIC </w:instrText>
      </w:r>
      <w:r w:rsidRPr="0077501D">
        <w:rPr>
          <w:rFonts w:ascii="Calibri" w:eastAsia="Times New Roman" w:hAnsi="Calibri" w:cs="Calibri"/>
          <w:b/>
          <w:bCs/>
          <w:color w:val="ED7D31" w:themeColor="accent2"/>
          <w:kern w:val="0"/>
          <w:sz w:val="24"/>
          <w:szCs w:val="24"/>
          <w:lang w:eastAsia="en-GB"/>
          <w14:ligatures w14:val="none"/>
        </w:rPr>
        <w:fldChar w:fldCharType="separate"/>
      </w:r>
      <w:r w:rsidR="00FD6222">
        <w:rPr>
          <w:rFonts w:ascii="Calibri" w:eastAsia="Times New Roman" w:hAnsi="Calibri" w:cs="Calibri"/>
          <w:b/>
          <w:bCs/>
          <w:noProof/>
          <w:color w:val="ED7D31" w:themeColor="accent2"/>
          <w:kern w:val="0"/>
          <w:sz w:val="24"/>
          <w:szCs w:val="24"/>
          <w:lang w:eastAsia="en-GB"/>
          <w14:ligatures w14:val="none"/>
        </w:rPr>
        <w:t>6</w:t>
      </w:r>
      <w:r w:rsidRPr="0077501D">
        <w:rPr>
          <w:rFonts w:ascii="Calibri" w:eastAsia="Times New Roman" w:hAnsi="Calibri" w:cs="Calibri"/>
          <w:b/>
          <w:bCs/>
          <w:color w:val="ED7D31" w:themeColor="accent2"/>
          <w:kern w:val="0"/>
          <w:sz w:val="24"/>
          <w:szCs w:val="24"/>
          <w:lang w:eastAsia="en-GB"/>
          <w14:ligatures w14:val="none"/>
        </w:rPr>
        <w:fldChar w:fldCharType="end"/>
      </w:r>
      <w:r w:rsidRPr="0077501D">
        <w:rPr>
          <w:rFonts w:ascii="Calibri" w:eastAsia="Times New Roman" w:hAnsi="Calibri" w:cs="Calibri"/>
          <w:b/>
          <w:bCs/>
          <w:color w:val="ED7D31" w:themeColor="accent2"/>
          <w:kern w:val="0"/>
          <w:sz w:val="24"/>
          <w:szCs w:val="24"/>
          <w:lang w:eastAsia="en-GB"/>
          <w14:ligatures w14:val="none"/>
        </w:rPr>
        <w:t>: UNITAR flood map. Red indicates flooded area detected via remote sensing from April to June 2024.</w:t>
      </w:r>
      <w:bookmarkEnd w:id="28"/>
    </w:p>
    <w:p w14:paraId="73C75EE6" w14:textId="77777777" w:rsidR="0077501D" w:rsidRDefault="00026BC5" w:rsidP="0077501D">
      <w:pPr>
        <w:spacing w:before="120" w:afterLines="120" w:after="288" w:line="240" w:lineRule="auto"/>
        <w:jc w:val="center"/>
        <w:rPr>
          <w:rFonts w:ascii="Arial" w:hAnsi="Arial" w:cs="Arial"/>
          <w:sz w:val="20"/>
          <w:szCs w:val="20"/>
        </w:rPr>
      </w:pPr>
      <w:r w:rsidRPr="00EC1B14">
        <w:rPr>
          <w:rFonts w:ascii="Arial" w:hAnsi="Arial" w:cs="Arial"/>
          <w:b/>
          <w:bCs/>
          <w:noProof/>
        </w:rPr>
        <w:drawing>
          <wp:inline distT="0" distB="0" distL="0" distR="0" wp14:anchorId="19FDCD80" wp14:editId="4C08D77C">
            <wp:extent cx="4960620" cy="3434771"/>
            <wp:effectExtent l="0" t="0" r="0" b="0"/>
            <wp:docPr id="1761448222" name="Picture 3" descr="A screenshot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1448222" name="Picture 3" descr="A screenshot of a map&#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965064" cy="3437848"/>
                    </a:xfrm>
                    <a:prstGeom prst="rect">
                      <a:avLst/>
                    </a:prstGeom>
                  </pic:spPr>
                </pic:pic>
              </a:graphicData>
            </a:graphic>
          </wp:inline>
        </w:drawing>
      </w:r>
    </w:p>
    <w:p w14:paraId="662714ED" w14:textId="0AB25111" w:rsidR="0077501D" w:rsidRPr="004E2EBA" w:rsidRDefault="000E34CC" w:rsidP="00D25F24">
      <w:pPr>
        <w:spacing w:before="120" w:afterLines="120" w:after="288" w:line="240" w:lineRule="auto"/>
        <w:jc w:val="both"/>
        <w:rPr>
          <w:rFonts w:ascii="Arial" w:hAnsi="Arial" w:cs="Arial"/>
          <w:sz w:val="20"/>
          <w:szCs w:val="20"/>
        </w:rPr>
      </w:pPr>
      <w:r w:rsidRPr="00EC1B14">
        <w:rPr>
          <w:rFonts w:ascii="Arial" w:hAnsi="Arial" w:cs="Arial"/>
          <w:sz w:val="20"/>
          <w:szCs w:val="20"/>
        </w:rPr>
        <w:t>Flooding risk is widespread across Kenya's territory, particularly in regions surrounding large water bodies. However, the impact of flooding is expected to be more catastrophic in highly populated areas such as Nairobi, Mombasa, Kisumu, and Garissa.</w:t>
      </w:r>
    </w:p>
    <w:p w14:paraId="07833B07" w14:textId="6A914578" w:rsidR="00E64C45" w:rsidRPr="00EC1B14" w:rsidRDefault="70F695C3" w:rsidP="00D25F24">
      <w:pPr>
        <w:pStyle w:val="Heading2"/>
        <w:spacing w:line="240" w:lineRule="auto"/>
        <w:rPr>
          <w:rFonts w:ascii="Arial" w:hAnsi="Arial" w:cs="Arial"/>
          <w:b/>
          <w:bCs/>
          <w:color w:val="auto"/>
          <w:sz w:val="24"/>
          <w:szCs w:val="24"/>
        </w:rPr>
      </w:pPr>
      <w:bookmarkStart w:id="29" w:name="_Toc159248352"/>
      <w:bookmarkStart w:id="30" w:name="_Toc171906998"/>
      <w:r w:rsidRPr="00EC1B14">
        <w:rPr>
          <w:rFonts w:ascii="Arial" w:hAnsi="Arial" w:cs="Arial"/>
          <w:b/>
          <w:bCs/>
          <w:color w:val="auto"/>
          <w:sz w:val="24"/>
          <w:szCs w:val="24"/>
        </w:rPr>
        <w:t>Understanding the Impacts</w:t>
      </w:r>
      <w:bookmarkEnd w:id="29"/>
      <w:bookmarkEnd w:id="30"/>
    </w:p>
    <w:p w14:paraId="4849D74C" w14:textId="789BB507" w:rsidR="00B2197C" w:rsidRPr="00EC1B14" w:rsidRDefault="00E64C45" w:rsidP="00D25F24">
      <w:pPr>
        <w:spacing w:before="120" w:afterLines="120" w:after="288" w:line="240" w:lineRule="auto"/>
        <w:jc w:val="both"/>
        <w:rPr>
          <w:rFonts w:ascii="Arial" w:hAnsi="Arial" w:cs="Arial"/>
        </w:rPr>
      </w:pPr>
      <w:r w:rsidRPr="00EC1B14">
        <w:rPr>
          <w:rFonts w:ascii="Arial" w:hAnsi="Arial" w:cs="Arial"/>
        </w:rPr>
        <w:t xml:space="preserve">The impacts of </w:t>
      </w:r>
      <w:r w:rsidR="002151E5" w:rsidRPr="00EC1B14">
        <w:rPr>
          <w:rFonts w:ascii="Arial" w:hAnsi="Arial" w:cs="Arial"/>
        </w:rPr>
        <w:t>climate physical risks</w:t>
      </w:r>
      <w:r w:rsidRPr="00EC1B14">
        <w:rPr>
          <w:rFonts w:ascii="Arial" w:hAnsi="Arial" w:cs="Arial"/>
        </w:rPr>
        <w:t xml:space="preserve"> on banks can be diverse and financially damaging to all parties concerned. Disruptions to supply chains, </w:t>
      </w:r>
      <w:r w:rsidR="00C459A6" w:rsidRPr="00EC1B14">
        <w:rPr>
          <w:rFonts w:ascii="Arial" w:hAnsi="Arial" w:cs="Arial"/>
        </w:rPr>
        <w:t>collateral damage</w:t>
      </w:r>
      <w:r w:rsidRPr="00EC1B14">
        <w:rPr>
          <w:rFonts w:ascii="Arial" w:hAnsi="Arial" w:cs="Arial"/>
        </w:rPr>
        <w:t>, and increased operational costs due to extreme weather events are common examples. Furthermore, businesses that rely on climate-sensitive sectors such as agriculture or tourism may face challenges that, in turn, affect their ability to meet financial obligations.</w:t>
      </w:r>
    </w:p>
    <w:p w14:paraId="6233060C" w14:textId="17A16750" w:rsidR="00B2197C" w:rsidRPr="00EC1B14" w:rsidRDefault="00B2197C" w:rsidP="00D25F24">
      <w:pPr>
        <w:spacing w:line="240" w:lineRule="auto"/>
        <w:rPr>
          <w:rFonts w:ascii="Arial" w:hAnsi="Arial" w:cs="Arial"/>
        </w:rPr>
      </w:pPr>
    </w:p>
    <w:p w14:paraId="0F80F4C2" w14:textId="59E9AE94" w:rsidR="007E1EE6" w:rsidRPr="00EC1B14" w:rsidRDefault="007E1EE6" w:rsidP="00D25F24">
      <w:pPr>
        <w:spacing w:before="120" w:afterLines="120" w:after="288" w:line="240" w:lineRule="auto"/>
        <w:jc w:val="both"/>
        <w:rPr>
          <w:rFonts w:ascii="Arial" w:hAnsi="Arial" w:cs="Arial"/>
          <w:b/>
          <w:bCs/>
        </w:rPr>
        <w:sectPr w:rsidR="007E1EE6" w:rsidRPr="00EC1B14" w:rsidSect="00CF021E">
          <w:pgSz w:w="11906" w:h="16838"/>
          <w:pgMar w:top="1440" w:right="1440" w:bottom="1560" w:left="1440" w:header="475" w:footer="707" w:gutter="0"/>
          <w:cols w:space="708"/>
          <w:docGrid w:linePitch="360"/>
        </w:sectPr>
      </w:pPr>
    </w:p>
    <w:p w14:paraId="5991CEAF" w14:textId="77777777" w:rsidR="00545780" w:rsidRPr="00EC1B14" w:rsidRDefault="00545780" w:rsidP="00D25F24">
      <w:pPr>
        <w:spacing w:before="120" w:afterLines="120" w:after="288" w:line="240" w:lineRule="auto"/>
        <w:jc w:val="both"/>
        <w:rPr>
          <w:rFonts w:ascii="Arial" w:hAnsi="Arial" w:cs="Arial"/>
          <w:b/>
          <w:bCs/>
        </w:rPr>
      </w:pPr>
    </w:p>
    <w:p w14:paraId="05EF4EE5" w14:textId="01633FC9" w:rsidR="00545780" w:rsidRPr="00EC1B14" w:rsidRDefault="00545780" w:rsidP="00D25F24">
      <w:pPr>
        <w:pStyle w:val="Caption"/>
        <w:spacing w:before="120" w:afterLines="120" w:after="288"/>
        <w:rPr>
          <w:rFonts w:ascii="Arial" w:hAnsi="Arial" w:cs="Arial"/>
          <w:b/>
          <w:bCs/>
          <w:i w:val="0"/>
          <w:color w:val="auto"/>
          <w:sz w:val="20"/>
        </w:rPr>
      </w:pPr>
      <w:bookmarkStart w:id="31" w:name="_Toc157522250"/>
      <w:bookmarkStart w:id="32" w:name="_Toc171907019"/>
      <w:r w:rsidRPr="00EC1B14">
        <w:rPr>
          <w:rFonts w:ascii="Arial" w:hAnsi="Arial" w:cs="Arial"/>
          <w:b/>
          <w:bCs/>
          <w:i w:val="0"/>
          <w:color w:val="auto"/>
          <w:sz w:val="20"/>
        </w:rPr>
        <w:t xml:space="preserve">Table </w:t>
      </w:r>
      <w:r w:rsidRPr="00EC1B14">
        <w:rPr>
          <w:rFonts w:ascii="Arial" w:hAnsi="Arial" w:cs="Arial"/>
          <w:b/>
          <w:bCs/>
          <w:i w:val="0"/>
          <w:color w:val="auto"/>
          <w:sz w:val="20"/>
        </w:rPr>
        <w:fldChar w:fldCharType="begin"/>
      </w:r>
      <w:r w:rsidRPr="00EC1B14">
        <w:rPr>
          <w:rFonts w:ascii="Arial" w:hAnsi="Arial" w:cs="Arial"/>
          <w:b/>
          <w:bCs/>
          <w:i w:val="0"/>
          <w:iCs w:val="0"/>
          <w:color w:val="auto"/>
          <w:sz w:val="20"/>
          <w:szCs w:val="20"/>
        </w:rPr>
        <w:instrText xml:space="preserve"> SEQ Table \* ARABIC </w:instrText>
      </w:r>
      <w:r w:rsidRPr="00EC1B14">
        <w:rPr>
          <w:rFonts w:ascii="Arial" w:hAnsi="Arial" w:cs="Arial"/>
          <w:b/>
          <w:bCs/>
          <w:i w:val="0"/>
          <w:color w:val="auto"/>
          <w:sz w:val="20"/>
        </w:rPr>
        <w:fldChar w:fldCharType="separate"/>
      </w:r>
      <w:r w:rsidR="00FD6222">
        <w:rPr>
          <w:rFonts w:ascii="Arial" w:hAnsi="Arial" w:cs="Arial"/>
          <w:b/>
          <w:bCs/>
          <w:i w:val="0"/>
          <w:iCs w:val="0"/>
          <w:noProof/>
          <w:color w:val="auto"/>
          <w:sz w:val="20"/>
          <w:szCs w:val="20"/>
        </w:rPr>
        <w:t>5</w:t>
      </w:r>
      <w:r w:rsidRPr="00EC1B14">
        <w:rPr>
          <w:rFonts w:ascii="Arial" w:hAnsi="Arial" w:cs="Arial"/>
          <w:b/>
          <w:bCs/>
          <w:i w:val="0"/>
          <w:color w:val="auto"/>
          <w:sz w:val="20"/>
        </w:rPr>
        <w:fldChar w:fldCharType="end"/>
      </w:r>
      <w:r w:rsidRPr="00EC1B14">
        <w:rPr>
          <w:rFonts w:ascii="Arial" w:hAnsi="Arial" w:cs="Arial"/>
          <w:b/>
          <w:bCs/>
          <w:i w:val="0"/>
          <w:color w:val="auto"/>
          <w:sz w:val="20"/>
        </w:rPr>
        <w:t xml:space="preserve">: </w:t>
      </w:r>
      <w:r w:rsidR="00B1398E" w:rsidRPr="00EC1B14">
        <w:rPr>
          <w:rFonts w:ascii="Arial" w:hAnsi="Arial" w:cs="Arial"/>
          <w:b/>
          <w:bCs/>
          <w:i w:val="0"/>
          <w:color w:val="auto"/>
          <w:sz w:val="20"/>
        </w:rPr>
        <w:t>Physical climate risk assessment for vulnerable sectors in Kenya</w:t>
      </w:r>
      <w:bookmarkEnd w:id="31"/>
      <w:bookmarkEnd w:id="32"/>
    </w:p>
    <w:tbl>
      <w:tblPr>
        <w:tblStyle w:val="TableGrid"/>
        <w:tblW w:w="13697" w:type="dxa"/>
        <w:tblLayout w:type="fixed"/>
        <w:tblLook w:val="04A0" w:firstRow="1" w:lastRow="0" w:firstColumn="1" w:lastColumn="0" w:noHBand="0" w:noVBand="1"/>
      </w:tblPr>
      <w:tblGrid>
        <w:gridCol w:w="1627"/>
        <w:gridCol w:w="1980"/>
        <w:gridCol w:w="1980"/>
        <w:gridCol w:w="3847"/>
        <w:gridCol w:w="4263"/>
      </w:tblGrid>
      <w:tr w:rsidR="00721985" w:rsidRPr="00EC1B14" w14:paraId="1746C41F" w14:textId="77777777" w:rsidTr="00721985">
        <w:tc>
          <w:tcPr>
            <w:tcW w:w="1627" w:type="dxa"/>
            <w:shd w:val="clear" w:color="auto" w:fill="BFBFBF" w:themeFill="background1" w:themeFillShade="BF"/>
            <w:hideMark/>
          </w:tcPr>
          <w:p w14:paraId="65023716" w14:textId="6C8E1BDA" w:rsidR="00721985" w:rsidRPr="00EC1B14" w:rsidRDefault="00721985" w:rsidP="00D25F24">
            <w:pPr>
              <w:pStyle w:val="NoSpacing"/>
              <w:jc w:val="center"/>
              <w:rPr>
                <w:rFonts w:ascii="Arial" w:hAnsi="Arial" w:cs="Arial"/>
                <w:b/>
                <w:bCs/>
                <w:sz w:val="20"/>
                <w:szCs w:val="20"/>
              </w:rPr>
            </w:pPr>
            <w:r w:rsidRPr="00EC1B14">
              <w:rPr>
                <w:rFonts w:ascii="Arial" w:hAnsi="Arial" w:cs="Arial"/>
                <w:b/>
                <w:bCs/>
                <w:sz w:val="20"/>
                <w:szCs w:val="20"/>
              </w:rPr>
              <w:t>Sector</w:t>
            </w:r>
          </w:p>
        </w:tc>
        <w:tc>
          <w:tcPr>
            <w:tcW w:w="1980" w:type="dxa"/>
            <w:shd w:val="clear" w:color="auto" w:fill="BFBFBF" w:themeFill="background1" w:themeFillShade="BF"/>
          </w:tcPr>
          <w:p w14:paraId="22192259" w14:textId="34686F41" w:rsidR="00721985" w:rsidRPr="00EC1B14" w:rsidRDefault="00B94B5D" w:rsidP="00D25F24">
            <w:pPr>
              <w:pStyle w:val="NoSpacing"/>
              <w:jc w:val="center"/>
              <w:rPr>
                <w:rFonts w:ascii="Arial" w:hAnsi="Arial" w:cs="Arial"/>
                <w:b/>
                <w:bCs/>
                <w:sz w:val="20"/>
                <w:szCs w:val="20"/>
              </w:rPr>
            </w:pPr>
            <w:r w:rsidRPr="00EC1B14">
              <w:rPr>
                <w:rFonts w:ascii="Arial" w:hAnsi="Arial" w:cs="Arial"/>
                <w:b/>
                <w:bCs/>
                <w:sz w:val="20"/>
                <w:szCs w:val="20"/>
              </w:rPr>
              <w:t>Hazards</w:t>
            </w:r>
          </w:p>
        </w:tc>
        <w:tc>
          <w:tcPr>
            <w:tcW w:w="1980" w:type="dxa"/>
            <w:shd w:val="clear" w:color="auto" w:fill="BFBFBF" w:themeFill="background1" w:themeFillShade="BF"/>
            <w:hideMark/>
          </w:tcPr>
          <w:p w14:paraId="21082E8C" w14:textId="198518E7" w:rsidR="00721985" w:rsidRPr="00EC1B14" w:rsidRDefault="00721985" w:rsidP="00D25F24">
            <w:pPr>
              <w:pStyle w:val="NoSpacing"/>
              <w:jc w:val="center"/>
              <w:rPr>
                <w:rFonts w:ascii="Arial" w:hAnsi="Arial" w:cs="Arial"/>
                <w:b/>
                <w:bCs/>
                <w:sz w:val="20"/>
                <w:szCs w:val="20"/>
              </w:rPr>
            </w:pPr>
            <w:r w:rsidRPr="00EC1B14">
              <w:rPr>
                <w:rFonts w:ascii="Arial" w:hAnsi="Arial" w:cs="Arial"/>
                <w:b/>
                <w:bCs/>
                <w:sz w:val="20"/>
                <w:szCs w:val="20"/>
              </w:rPr>
              <w:t>Impacts</w:t>
            </w:r>
          </w:p>
        </w:tc>
        <w:tc>
          <w:tcPr>
            <w:tcW w:w="3847" w:type="dxa"/>
            <w:shd w:val="clear" w:color="auto" w:fill="BFBFBF" w:themeFill="background1" w:themeFillShade="BF"/>
            <w:hideMark/>
          </w:tcPr>
          <w:p w14:paraId="41B4471B" w14:textId="6A0A7CE6" w:rsidR="00721985" w:rsidRPr="00EC1B14" w:rsidRDefault="00721985" w:rsidP="00D25F24">
            <w:pPr>
              <w:pStyle w:val="NoSpacing"/>
              <w:jc w:val="center"/>
              <w:rPr>
                <w:rFonts w:ascii="Arial" w:hAnsi="Arial" w:cs="Arial"/>
                <w:b/>
                <w:bCs/>
                <w:sz w:val="20"/>
                <w:szCs w:val="20"/>
              </w:rPr>
            </w:pPr>
            <w:r w:rsidRPr="00EC1B14">
              <w:rPr>
                <w:rFonts w:ascii="Arial" w:hAnsi="Arial" w:cs="Arial"/>
                <w:b/>
                <w:bCs/>
                <w:sz w:val="20"/>
                <w:szCs w:val="20"/>
              </w:rPr>
              <w:t>Science-Based Target Indicators</w:t>
            </w:r>
          </w:p>
        </w:tc>
        <w:tc>
          <w:tcPr>
            <w:tcW w:w="4263" w:type="dxa"/>
            <w:shd w:val="clear" w:color="auto" w:fill="BFBFBF" w:themeFill="background1" w:themeFillShade="BF"/>
            <w:hideMark/>
          </w:tcPr>
          <w:p w14:paraId="3C189CDE" w14:textId="5250AA2C" w:rsidR="00721985" w:rsidRPr="00EC1B14" w:rsidRDefault="00721985" w:rsidP="00D25F24">
            <w:pPr>
              <w:pStyle w:val="NoSpacing"/>
              <w:jc w:val="center"/>
              <w:rPr>
                <w:rFonts w:ascii="Arial" w:hAnsi="Arial" w:cs="Arial"/>
                <w:b/>
                <w:bCs/>
                <w:sz w:val="20"/>
                <w:szCs w:val="20"/>
              </w:rPr>
            </w:pPr>
            <w:r w:rsidRPr="00EC1B14">
              <w:rPr>
                <w:rFonts w:ascii="Arial" w:hAnsi="Arial" w:cs="Arial"/>
                <w:b/>
                <w:bCs/>
                <w:sz w:val="20"/>
                <w:szCs w:val="20"/>
              </w:rPr>
              <w:t>Location of data sources</w:t>
            </w:r>
          </w:p>
        </w:tc>
      </w:tr>
      <w:tr w:rsidR="00721985" w:rsidRPr="00EC1B14" w14:paraId="5F1C1CF9" w14:textId="77777777" w:rsidTr="00721985">
        <w:tc>
          <w:tcPr>
            <w:tcW w:w="1627" w:type="dxa"/>
            <w:hideMark/>
          </w:tcPr>
          <w:p w14:paraId="10DE9A14" w14:textId="080D7F84" w:rsidR="00721985" w:rsidRPr="00EC1B14" w:rsidRDefault="00721985" w:rsidP="00721985">
            <w:pPr>
              <w:pStyle w:val="NoSpacing"/>
              <w:rPr>
                <w:rFonts w:ascii="Arial" w:hAnsi="Arial" w:cs="Arial"/>
                <w:sz w:val="20"/>
                <w:szCs w:val="20"/>
              </w:rPr>
            </w:pPr>
            <w:r w:rsidRPr="00EC1B14">
              <w:rPr>
                <w:rFonts w:ascii="Arial" w:hAnsi="Arial" w:cs="Arial"/>
                <w:sz w:val="20"/>
                <w:szCs w:val="20"/>
              </w:rPr>
              <w:t>Agriculture</w:t>
            </w:r>
          </w:p>
        </w:tc>
        <w:tc>
          <w:tcPr>
            <w:tcW w:w="1980" w:type="dxa"/>
          </w:tcPr>
          <w:p w14:paraId="4FB33C7F" w14:textId="77777777"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Irregular rainfall patterns</w:t>
            </w:r>
          </w:p>
          <w:p w14:paraId="2A24BE89" w14:textId="77777777"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Increased temperatures</w:t>
            </w:r>
          </w:p>
          <w:p w14:paraId="045F3BC5" w14:textId="5EAE64E9"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Extreme weather events</w:t>
            </w:r>
          </w:p>
        </w:tc>
        <w:tc>
          <w:tcPr>
            <w:tcW w:w="1980" w:type="dxa"/>
            <w:hideMark/>
          </w:tcPr>
          <w:p w14:paraId="547EBD00" w14:textId="39476E4C"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Crop failure</w:t>
            </w:r>
          </w:p>
          <w:p w14:paraId="3D19EA3A" w14:textId="77777777"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Reduced yields</w:t>
            </w:r>
          </w:p>
          <w:p w14:paraId="2F506763" w14:textId="07F780EE"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Water scarcity</w:t>
            </w:r>
          </w:p>
        </w:tc>
        <w:tc>
          <w:tcPr>
            <w:tcW w:w="3847" w:type="dxa"/>
            <w:hideMark/>
          </w:tcPr>
          <w:p w14:paraId="1CD7A775" w14:textId="7B9D3AF0" w:rsidR="00721985" w:rsidRPr="00EC1B14" w:rsidRDefault="00721985" w:rsidP="00721985">
            <w:pPr>
              <w:pStyle w:val="NoSpacing"/>
              <w:rPr>
                <w:rFonts w:ascii="Arial" w:hAnsi="Arial" w:cs="Arial"/>
                <w:sz w:val="20"/>
                <w:szCs w:val="20"/>
              </w:rPr>
            </w:pPr>
            <w:r w:rsidRPr="00EC1B14">
              <w:rPr>
                <w:rFonts w:ascii="Arial" w:hAnsi="Arial" w:cs="Arial"/>
                <w:sz w:val="20"/>
                <w:szCs w:val="20"/>
              </w:rPr>
              <w:t>1. Annual crop yield data</w:t>
            </w:r>
          </w:p>
          <w:p w14:paraId="183FF212" w14:textId="59EB0B09" w:rsidR="00721985" w:rsidRPr="00EC1B14" w:rsidRDefault="00721985" w:rsidP="00721985">
            <w:pPr>
              <w:pStyle w:val="NoSpacing"/>
              <w:rPr>
                <w:rFonts w:ascii="Arial" w:hAnsi="Arial" w:cs="Arial"/>
                <w:sz w:val="20"/>
                <w:szCs w:val="20"/>
              </w:rPr>
            </w:pPr>
            <w:r w:rsidRPr="00EC1B14">
              <w:rPr>
                <w:rFonts w:ascii="Arial" w:hAnsi="Arial" w:cs="Arial"/>
                <w:sz w:val="20"/>
                <w:szCs w:val="20"/>
              </w:rPr>
              <w:t>2. Precipitation patterns over time</w:t>
            </w:r>
          </w:p>
          <w:p w14:paraId="683669B7" w14:textId="2913503B" w:rsidR="00721985" w:rsidRPr="00EC1B14" w:rsidRDefault="00721985" w:rsidP="00721985">
            <w:pPr>
              <w:pStyle w:val="NoSpacing"/>
              <w:rPr>
                <w:rFonts w:ascii="Arial" w:hAnsi="Arial" w:cs="Arial"/>
                <w:sz w:val="20"/>
                <w:szCs w:val="20"/>
              </w:rPr>
            </w:pPr>
            <w:r w:rsidRPr="00EC1B14">
              <w:rPr>
                <w:rFonts w:ascii="Arial" w:hAnsi="Arial" w:cs="Arial"/>
                <w:sz w:val="20"/>
                <w:szCs w:val="20"/>
              </w:rPr>
              <w:t>3. Temperature records and trends</w:t>
            </w:r>
          </w:p>
          <w:p w14:paraId="515666EC"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4. Historical extreme weather event data</w:t>
            </w:r>
          </w:p>
          <w:p w14:paraId="4D5D0C8C" w14:textId="64F9B9DA" w:rsidR="00721985" w:rsidRPr="00EC1B14" w:rsidRDefault="00721985" w:rsidP="00721985">
            <w:pPr>
              <w:pStyle w:val="NoSpacing"/>
              <w:rPr>
                <w:rFonts w:ascii="Arial" w:hAnsi="Arial" w:cs="Arial"/>
                <w:sz w:val="20"/>
                <w:szCs w:val="20"/>
              </w:rPr>
            </w:pPr>
            <w:r w:rsidRPr="00EC1B14">
              <w:rPr>
                <w:rFonts w:ascii="Arial" w:hAnsi="Arial" w:cs="Arial"/>
                <w:sz w:val="20"/>
                <w:szCs w:val="20"/>
              </w:rPr>
              <w:t>5.GHG-Scope 1-2-3 operational Co2 emissions data</w:t>
            </w:r>
          </w:p>
        </w:tc>
        <w:tc>
          <w:tcPr>
            <w:tcW w:w="4263" w:type="dxa"/>
            <w:hideMark/>
          </w:tcPr>
          <w:p w14:paraId="4485EFB6" w14:textId="3BE0B129" w:rsidR="00721985" w:rsidRPr="00EC1B14" w:rsidRDefault="00721985" w:rsidP="00721985">
            <w:pPr>
              <w:pStyle w:val="NoSpacing"/>
              <w:rPr>
                <w:rFonts w:ascii="Arial" w:hAnsi="Arial" w:cs="Arial"/>
                <w:sz w:val="20"/>
                <w:szCs w:val="20"/>
              </w:rPr>
            </w:pPr>
            <w:r w:rsidRPr="00EC1B14">
              <w:rPr>
                <w:rFonts w:ascii="Arial" w:hAnsi="Arial" w:cs="Arial"/>
                <w:sz w:val="20"/>
                <w:szCs w:val="20"/>
              </w:rPr>
              <w:t>Kenya Meteorological Department</w:t>
            </w:r>
          </w:p>
          <w:p w14:paraId="614A02D7" w14:textId="35A4F672"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Agriculture and Livestock Development</w:t>
            </w:r>
          </w:p>
          <w:p w14:paraId="6F5BD742"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Water and Sanitation</w:t>
            </w:r>
          </w:p>
          <w:p w14:paraId="315DE10F"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Water Resource Authority</w:t>
            </w:r>
          </w:p>
          <w:p w14:paraId="4778E6C6"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Environment, Forestry and Climate Change</w:t>
            </w:r>
          </w:p>
          <w:p w14:paraId="05B72BE8" w14:textId="60C02C85"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Devolution and ASALs</w:t>
            </w:r>
          </w:p>
        </w:tc>
      </w:tr>
      <w:tr w:rsidR="00721985" w:rsidRPr="00EC1B14" w14:paraId="4D8880B9" w14:textId="77777777" w:rsidTr="00721985">
        <w:tc>
          <w:tcPr>
            <w:tcW w:w="1627" w:type="dxa"/>
            <w:hideMark/>
          </w:tcPr>
          <w:p w14:paraId="5490776A" w14:textId="59EA23C0" w:rsidR="00721985" w:rsidRPr="00EC1B14" w:rsidRDefault="00721985" w:rsidP="00721985">
            <w:pPr>
              <w:pStyle w:val="NoSpacing"/>
              <w:rPr>
                <w:rFonts w:ascii="Arial" w:hAnsi="Arial" w:cs="Arial"/>
                <w:sz w:val="20"/>
                <w:szCs w:val="20"/>
              </w:rPr>
            </w:pPr>
            <w:r w:rsidRPr="00EC1B14">
              <w:rPr>
                <w:rFonts w:ascii="Arial" w:hAnsi="Arial" w:cs="Arial"/>
                <w:sz w:val="20"/>
                <w:szCs w:val="20"/>
              </w:rPr>
              <w:t>Water Resources</w:t>
            </w:r>
          </w:p>
        </w:tc>
        <w:tc>
          <w:tcPr>
            <w:tcW w:w="1980" w:type="dxa"/>
          </w:tcPr>
          <w:p w14:paraId="636221FF" w14:textId="77777777"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Changing precipitation patterns</w:t>
            </w:r>
          </w:p>
          <w:p w14:paraId="7FE4C307" w14:textId="46BF2E4B"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Prolonged droughts</w:t>
            </w:r>
          </w:p>
        </w:tc>
        <w:tc>
          <w:tcPr>
            <w:tcW w:w="1980" w:type="dxa"/>
            <w:hideMark/>
          </w:tcPr>
          <w:p w14:paraId="0046AA5B" w14:textId="5484A618"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Dwindling water supply</w:t>
            </w:r>
          </w:p>
          <w:p w14:paraId="0F253E39" w14:textId="6915B17B"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Increased competition for resources</w:t>
            </w:r>
          </w:p>
        </w:tc>
        <w:tc>
          <w:tcPr>
            <w:tcW w:w="3847" w:type="dxa"/>
            <w:hideMark/>
          </w:tcPr>
          <w:p w14:paraId="6BC3051B"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1. Annual water supply levels</w:t>
            </w:r>
          </w:p>
          <w:p w14:paraId="33A7C243" w14:textId="6D9D07A8" w:rsidR="00721985" w:rsidRPr="00EC1B14" w:rsidRDefault="00721985" w:rsidP="00721985">
            <w:pPr>
              <w:pStyle w:val="NoSpacing"/>
              <w:rPr>
                <w:rFonts w:ascii="Arial" w:hAnsi="Arial" w:cs="Arial"/>
                <w:sz w:val="20"/>
                <w:szCs w:val="20"/>
              </w:rPr>
            </w:pPr>
            <w:r w:rsidRPr="00EC1B14">
              <w:rPr>
                <w:rFonts w:ascii="Arial" w:hAnsi="Arial" w:cs="Arial"/>
                <w:sz w:val="20"/>
                <w:szCs w:val="20"/>
              </w:rPr>
              <w:t>2. Historical precipitation patterns</w:t>
            </w:r>
          </w:p>
          <w:p w14:paraId="45D45C15"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3. Drought severity indices</w:t>
            </w:r>
          </w:p>
          <w:p w14:paraId="2A71ECDD" w14:textId="7EDD6000" w:rsidR="00721985" w:rsidRPr="00EC1B14" w:rsidRDefault="00721985" w:rsidP="00721985">
            <w:pPr>
              <w:pStyle w:val="NoSpacing"/>
              <w:rPr>
                <w:rFonts w:ascii="Arial" w:hAnsi="Arial" w:cs="Arial"/>
                <w:sz w:val="20"/>
                <w:szCs w:val="20"/>
              </w:rPr>
            </w:pPr>
            <w:r w:rsidRPr="00EC1B14">
              <w:rPr>
                <w:rFonts w:ascii="Arial" w:hAnsi="Arial" w:cs="Arial"/>
                <w:sz w:val="20"/>
                <w:szCs w:val="20"/>
              </w:rPr>
              <w:t>4. GHG-Scope 1-2-3 operational Co2 emissions data</w:t>
            </w:r>
          </w:p>
        </w:tc>
        <w:tc>
          <w:tcPr>
            <w:tcW w:w="4263" w:type="dxa"/>
          </w:tcPr>
          <w:p w14:paraId="0DB8E00E"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Water and Sanitation</w:t>
            </w:r>
          </w:p>
          <w:p w14:paraId="08783CE6"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Water Resource Authority</w:t>
            </w:r>
          </w:p>
          <w:p w14:paraId="07C505CC"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Environment, Forestry and Climate Change</w:t>
            </w:r>
          </w:p>
          <w:p w14:paraId="2C7C061A"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Kenya Meteorological Department</w:t>
            </w:r>
          </w:p>
          <w:p w14:paraId="4F257AD1"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Kenya National Bureau of Statistics (KNBS)</w:t>
            </w:r>
          </w:p>
          <w:p w14:paraId="6F98A1EA" w14:textId="1FC4776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Devolution and ASALs</w:t>
            </w:r>
          </w:p>
        </w:tc>
      </w:tr>
      <w:tr w:rsidR="00721985" w:rsidRPr="00EC1B14" w14:paraId="0ED72F0E" w14:textId="77777777" w:rsidTr="00721985">
        <w:tc>
          <w:tcPr>
            <w:tcW w:w="1627" w:type="dxa"/>
            <w:hideMark/>
          </w:tcPr>
          <w:p w14:paraId="08BF16A5" w14:textId="5A4003FA" w:rsidR="00721985" w:rsidRPr="00EC1B14" w:rsidRDefault="00721985" w:rsidP="00721985">
            <w:pPr>
              <w:pStyle w:val="NoSpacing"/>
              <w:rPr>
                <w:rFonts w:ascii="Arial" w:hAnsi="Arial" w:cs="Arial"/>
                <w:sz w:val="20"/>
                <w:szCs w:val="20"/>
              </w:rPr>
            </w:pPr>
            <w:r w:rsidRPr="00EC1B14">
              <w:rPr>
                <w:rFonts w:ascii="Arial" w:hAnsi="Arial" w:cs="Arial"/>
                <w:sz w:val="20"/>
                <w:szCs w:val="20"/>
              </w:rPr>
              <w:t>Energy</w:t>
            </w:r>
          </w:p>
        </w:tc>
        <w:tc>
          <w:tcPr>
            <w:tcW w:w="1980" w:type="dxa"/>
          </w:tcPr>
          <w:p w14:paraId="2F5FDA59" w14:textId="77777777"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Lower water levels affecting hydroelectric plants</w:t>
            </w:r>
          </w:p>
          <w:p w14:paraId="4F5DF69E" w14:textId="0B485FC7"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Higher temperatures leading to increased energy demand</w:t>
            </w:r>
          </w:p>
        </w:tc>
        <w:tc>
          <w:tcPr>
            <w:tcW w:w="1980" w:type="dxa"/>
            <w:hideMark/>
          </w:tcPr>
          <w:p w14:paraId="047F855D" w14:textId="061ADB5B"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Disruptions in hydropower generation</w:t>
            </w:r>
          </w:p>
          <w:p w14:paraId="6412380C" w14:textId="0E203435"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Increased demand for cooling</w:t>
            </w:r>
          </w:p>
        </w:tc>
        <w:tc>
          <w:tcPr>
            <w:tcW w:w="3847" w:type="dxa"/>
            <w:hideMark/>
          </w:tcPr>
          <w:p w14:paraId="1E792197" w14:textId="588AF964" w:rsidR="00721985" w:rsidRPr="00EC1B14" w:rsidRDefault="00721985" w:rsidP="00721985">
            <w:pPr>
              <w:pStyle w:val="NoSpacing"/>
              <w:rPr>
                <w:rFonts w:ascii="Arial" w:hAnsi="Arial" w:cs="Arial"/>
                <w:sz w:val="20"/>
                <w:szCs w:val="20"/>
              </w:rPr>
            </w:pPr>
            <w:r w:rsidRPr="00EC1B14">
              <w:rPr>
                <w:rFonts w:ascii="Arial" w:hAnsi="Arial" w:cs="Arial"/>
                <w:sz w:val="20"/>
                <w:szCs w:val="20"/>
              </w:rPr>
              <w:t>1. Hydropower generation data</w:t>
            </w:r>
          </w:p>
          <w:p w14:paraId="280A626B" w14:textId="668E4AF1" w:rsidR="00721985" w:rsidRPr="00EC1B14" w:rsidRDefault="00721985" w:rsidP="00721985">
            <w:pPr>
              <w:pStyle w:val="NoSpacing"/>
              <w:rPr>
                <w:rFonts w:ascii="Arial" w:hAnsi="Arial" w:cs="Arial"/>
                <w:sz w:val="20"/>
                <w:szCs w:val="20"/>
              </w:rPr>
            </w:pPr>
            <w:r w:rsidRPr="00EC1B14">
              <w:rPr>
                <w:rFonts w:ascii="Arial" w:hAnsi="Arial" w:cs="Arial"/>
                <w:sz w:val="20"/>
                <w:szCs w:val="20"/>
              </w:rPr>
              <w:t>2. Water level records for hydroelectric plants</w:t>
            </w:r>
          </w:p>
          <w:p w14:paraId="316E5E11"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3. Energy consumption trends and forecasts</w:t>
            </w:r>
          </w:p>
          <w:p w14:paraId="4ADEF544" w14:textId="721B78AE" w:rsidR="00721985" w:rsidRPr="00EC1B14" w:rsidRDefault="00721985" w:rsidP="00721985">
            <w:pPr>
              <w:pStyle w:val="NoSpacing"/>
              <w:rPr>
                <w:rFonts w:ascii="Arial" w:hAnsi="Arial" w:cs="Arial"/>
                <w:sz w:val="20"/>
                <w:szCs w:val="20"/>
              </w:rPr>
            </w:pPr>
            <w:r w:rsidRPr="00EC1B14">
              <w:rPr>
                <w:rFonts w:ascii="Arial" w:hAnsi="Arial" w:cs="Arial"/>
                <w:sz w:val="20"/>
                <w:szCs w:val="20"/>
              </w:rPr>
              <w:t>4. GHG-Scope 1-2-3 operational Co2 emissions data</w:t>
            </w:r>
          </w:p>
        </w:tc>
        <w:tc>
          <w:tcPr>
            <w:tcW w:w="4263" w:type="dxa"/>
          </w:tcPr>
          <w:p w14:paraId="22F1A87E"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Energy</w:t>
            </w:r>
          </w:p>
          <w:p w14:paraId="2BD9B83A" w14:textId="5970DE53" w:rsidR="00721985" w:rsidRPr="00EC1B14" w:rsidRDefault="00721985" w:rsidP="00721985">
            <w:pPr>
              <w:pStyle w:val="NoSpacing"/>
              <w:rPr>
                <w:rFonts w:ascii="Arial" w:hAnsi="Arial" w:cs="Arial"/>
                <w:sz w:val="20"/>
                <w:szCs w:val="20"/>
              </w:rPr>
            </w:pPr>
            <w:r w:rsidRPr="00EC1B14">
              <w:rPr>
                <w:rFonts w:ascii="Arial" w:hAnsi="Arial" w:cs="Arial"/>
                <w:sz w:val="20"/>
                <w:szCs w:val="20"/>
              </w:rPr>
              <w:t>Water Resource Authority</w:t>
            </w:r>
          </w:p>
          <w:p w14:paraId="733019A5"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Water and Sanitation</w:t>
            </w:r>
          </w:p>
          <w:p w14:paraId="6674185A" w14:textId="1E0E6E39"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Land and Physical Planning</w:t>
            </w:r>
          </w:p>
        </w:tc>
      </w:tr>
      <w:tr w:rsidR="00721985" w:rsidRPr="00EC1B14" w14:paraId="19A77698" w14:textId="77777777" w:rsidTr="00721985">
        <w:tc>
          <w:tcPr>
            <w:tcW w:w="1627" w:type="dxa"/>
            <w:hideMark/>
          </w:tcPr>
          <w:p w14:paraId="7034F750" w14:textId="15714CCA" w:rsidR="00721985" w:rsidRPr="00EC1B14" w:rsidRDefault="00721985" w:rsidP="00721985">
            <w:pPr>
              <w:pStyle w:val="NoSpacing"/>
              <w:rPr>
                <w:rFonts w:ascii="Arial" w:hAnsi="Arial" w:cs="Arial"/>
                <w:sz w:val="20"/>
                <w:szCs w:val="20"/>
              </w:rPr>
            </w:pPr>
            <w:r w:rsidRPr="00EC1B14">
              <w:rPr>
                <w:rFonts w:ascii="Arial" w:hAnsi="Arial" w:cs="Arial"/>
                <w:sz w:val="20"/>
                <w:szCs w:val="20"/>
              </w:rPr>
              <w:t>Health</w:t>
            </w:r>
          </w:p>
        </w:tc>
        <w:tc>
          <w:tcPr>
            <w:tcW w:w="1980" w:type="dxa"/>
          </w:tcPr>
          <w:p w14:paraId="728F07CB" w14:textId="77777777"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Altered disease vectors due to climate changes.</w:t>
            </w:r>
          </w:p>
          <w:p w14:paraId="1DF13984" w14:textId="742AE0EB"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Increased temperatures</w:t>
            </w:r>
          </w:p>
        </w:tc>
        <w:tc>
          <w:tcPr>
            <w:tcW w:w="1980" w:type="dxa"/>
            <w:hideMark/>
          </w:tcPr>
          <w:p w14:paraId="3A59DCCC" w14:textId="62CAECF4"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Spread of vector-borne diseases</w:t>
            </w:r>
          </w:p>
          <w:p w14:paraId="2206845B" w14:textId="1FE8A049"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Heat-related illnesses</w:t>
            </w:r>
          </w:p>
        </w:tc>
        <w:tc>
          <w:tcPr>
            <w:tcW w:w="3847" w:type="dxa"/>
            <w:hideMark/>
          </w:tcPr>
          <w:p w14:paraId="3A748C75" w14:textId="7BDDE2AD" w:rsidR="00721985" w:rsidRPr="00EC1B14" w:rsidRDefault="00721985" w:rsidP="00721985">
            <w:pPr>
              <w:pStyle w:val="NoSpacing"/>
              <w:rPr>
                <w:rFonts w:ascii="Arial" w:hAnsi="Arial" w:cs="Arial"/>
                <w:sz w:val="20"/>
                <w:szCs w:val="20"/>
              </w:rPr>
            </w:pPr>
            <w:r w:rsidRPr="00EC1B14">
              <w:rPr>
                <w:rFonts w:ascii="Arial" w:hAnsi="Arial" w:cs="Arial"/>
                <w:sz w:val="20"/>
                <w:szCs w:val="20"/>
              </w:rPr>
              <w:t>1. Incidence rates of vector-borne diseases</w:t>
            </w:r>
          </w:p>
          <w:p w14:paraId="243D258B" w14:textId="0A4E12F8" w:rsidR="00721985" w:rsidRPr="00EC1B14" w:rsidRDefault="00721985" w:rsidP="00721985">
            <w:pPr>
              <w:pStyle w:val="NoSpacing"/>
              <w:rPr>
                <w:rFonts w:ascii="Arial" w:hAnsi="Arial" w:cs="Arial"/>
                <w:sz w:val="20"/>
                <w:szCs w:val="20"/>
              </w:rPr>
            </w:pPr>
            <w:r w:rsidRPr="00EC1B14">
              <w:rPr>
                <w:rFonts w:ascii="Arial" w:hAnsi="Arial" w:cs="Arial"/>
                <w:sz w:val="20"/>
                <w:szCs w:val="20"/>
              </w:rPr>
              <w:t>2. Temperature-related health impacts</w:t>
            </w:r>
          </w:p>
          <w:p w14:paraId="58D61272"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3. Historical climate-related health data</w:t>
            </w:r>
          </w:p>
          <w:p w14:paraId="6E667C54" w14:textId="278E8E29" w:rsidR="00721985" w:rsidRPr="00EC1B14" w:rsidRDefault="00721985" w:rsidP="00721985">
            <w:pPr>
              <w:pStyle w:val="NoSpacing"/>
              <w:rPr>
                <w:rFonts w:ascii="Arial" w:hAnsi="Arial" w:cs="Arial"/>
                <w:sz w:val="20"/>
                <w:szCs w:val="20"/>
              </w:rPr>
            </w:pPr>
            <w:r w:rsidRPr="00EC1B14">
              <w:rPr>
                <w:rFonts w:ascii="Arial" w:hAnsi="Arial" w:cs="Arial"/>
                <w:sz w:val="20"/>
                <w:szCs w:val="20"/>
              </w:rPr>
              <w:t>4. GHG-Scope 1-2-3 operational Co2 emissions data</w:t>
            </w:r>
          </w:p>
        </w:tc>
        <w:tc>
          <w:tcPr>
            <w:tcW w:w="4263" w:type="dxa"/>
          </w:tcPr>
          <w:p w14:paraId="22F08035"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Health</w:t>
            </w:r>
          </w:p>
          <w:p w14:paraId="7F732567"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Kenya Meteorological Department</w:t>
            </w:r>
          </w:p>
          <w:p w14:paraId="07BBB16C"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National Drought Management Authority</w:t>
            </w:r>
          </w:p>
          <w:p w14:paraId="6CBC94DB" w14:textId="62A24EF3" w:rsidR="00721985" w:rsidRPr="00EC1B14" w:rsidRDefault="00721985" w:rsidP="00721985">
            <w:pPr>
              <w:pStyle w:val="NoSpacing"/>
              <w:rPr>
                <w:rFonts w:ascii="Arial" w:hAnsi="Arial" w:cs="Arial"/>
                <w:sz w:val="20"/>
                <w:szCs w:val="20"/>
              </w:rPr>
            </w:pPr>
            <w:r w:rsidRPr="00EC1B14">
              <w:rPr>
                <w:rFonts w:ascii="Arial" w:hAnsi="Arial" w:cs="Arial"/>
                <w:sz w:val="20"/>
                <w:szCs w:val="20"/>
              </w:rPr>
              <w:t>National Environment Management Authority (NEMA)</w:t>
            </w:r>
          </w:p>
        </w:tc>
      </w:tr>
      <w:tr w:rsidR="00721985" w:rsidRPr="00EC1B14" w14:paraId="3E31F68F" w14:textId="77777777" w:rsidTr="00721985">
        <w:tc>
          <w:tcPr>
            <w:tcW w:w="1627" w:type="dxa"/>
            <w:hideMark/>
          </w:tcPr>
          <w:p w14:paraId="487D6163" w14:textId="27ED6473" w:rsidR="00721985" w:rsidRPr="00EC1B14" w:rsidRDefault="00721985" w:rsidP="00721985">
            <w:pPr>
              <w:pStyle w:val="NoSpacing"/>
              <w:rPr>
                <w:rFonts w:ascii="Arial" w:hAnsi="Arial" w:cs="Arial"/>
                <w:sz w:val="20"/>
                <w:szCs w:val="20"/>
              </w:rPr>
            </w:pPr>
            <w:r w:rsidRPr="00EC1B14">
              <w:rPr>
                <w:rFonts w:ascii="Arial" w:hAnsi="Arial" w:cs="Arial"/>
                <w:sz w:val="20"/>
                <w:szCs w:val="20"/>
              </w:rPr>
              <w:t>Tourism</w:t>
            </w:r>
          </w:p>
        </w:tc>
        <w:tc>
          <w:tcPr>
            <w:tcW w:w="1980" w:type="dxa"/>
          </w:tcPr>
          <w:p w14:paraId="2C03800C" w14:textId="77777777"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Changes in weather patterns</w:t>
            </w:r>
          </w:p>
          <w:p w14:paraId="6836A2AD" w14:textId="1D541CC3"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Sea-level rise affecting coastal areas</w:t>
            </w:r>
          </w:p>
        </w:tc>
        <w:tc>
          <w:tcPr>
            <w:tcW w:w="1980" w:type="dxa"/>
            <w:hideMark/>
          </w:tcPr>
          <w:p w14:paraId="22BE3736" w14:textId="4A382D82"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Shifts in tourist destinations.</w:t>
            </w:r>
          </w:p>
          <w:p w14:paraId="697095F2" w14:textId="7658E81B"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Damage to coastal infrastructure</w:t>
            </w:r>
          </w:p>
        </w:tc>
        <w:tc>
          <w:tcPr>
            <w:tcW w:w="3847" w:type="dxa"/>
            <w:hideMark/>
          </w:tcPr>
          <w:p w14:paraId="40AFA0BF" w14:textId="09C13371" w:rsidR="00721985" w:rsidRPr="00EC1B14" w:rsidRDefault="00721985" w:rsidP="00721985">
            <w:pPr>
              <w:pStyle w:val="NoSpacing"/>
              <w:rPr>
                <w:rFonts w:ascii="Arial" w:hAnsi="Arial" w:cs="Arial"/>
                <w:sz w:val="20"/>
                <w:szCs w:val="20"/>
              </w:rPr>
            </w:pPr>
            <w:r w:rsidRPr="00EC1B14">
              <w:rPr>
                <w:rFonts w:ascii="Arial" w:hAnsi="Arial" w:cs="Arial"/>
                <w:sz w:val="20"/>
                <w:szCs w:val="20"/>
              </w:rPr>
              <w:t>1. Tourist destination trends and preferences</w:t>
            </w:r>
          </w:p>
          <w:p w14:paraId="2CB6A6B7" w14:textId="53DF2B06" w:rsidR="00721985" w:rsidRPr="00EC1B14" w:rsidRDefault="00721985" w:rsidP="00721985">
            <w:pPr>
              <w:pStyle w:val="NoSpacing"/>
              <w:rPr>
                <w:rFonts w:ascii="Arial" w:hAnsi="Arial" w:cs="Arial"/>
                <w:sz w:val="20"/>
                <w:szCs w:val="20"/>
              </w:rPr>
            </w:pPr>
            <w:r w:rsidRPr="00EC1B14">
              <w:rPr>
                <w:rFonts w:ascii="Arial" w:hAnsi="Arial" w:cs="Arial"/>
                <w:sz w:val="20"/>
                <w:szCs w:val="20"/>
              </w:rPr>
              <w:t>2. Coastal infrastructure vulnerability assessments</w:t>
            </w:r>
          </w:p>
          <w:p w14:paraId="76268076"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3. Sea-level rise projections</w:t>
            </w:r>
          </w:p>
          <w:p w14:paraId="35AFDCEB" w14:textId="3E1B21BC" w:rsidR="00721985" w:rsidRPr="00EC1B14" w:rsidRDefault="00721985" w:rsidP="00721985">
            <w:pPr>
              <w:pStyle w:val="NoSpacing"/>
              <w:rPr>
                <w:rFonts w:ascii="Arial" w:hAnsi="Arial" w:cs="Arial"/>
                <w:sz w:val="20"/>
                <w:szCs w:val="20"/>
              </w:rPr>
            </w:pPr>
            <w:r w:rsidRPr="00EC1B14">
              <w:rPr>
                <w:rFonts w:ascii="Arial" w:hAnsi="Arial" w:cs="Arial"/>
                <w:sz w:val="20"/>
                <w:szCs w:val="20"/>
              </w:rPr>
              <w:t>4. GHG-Scope 1-2-3 operational Co2 emissions data</w:t>
            </w:r>
          </w:p>
        </w:tc>
        <w:tc>
          <w:tcPr>
            <w:tcW w:w="4263" w:type="dxa"/>
          </w:tcPr>
          <w:p w14:paraId="31E9EE4F"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Tourism and Wildlife</w:t>
            </w:r>
          </w:p>
          <w:p w14:paraId="76680B56" w14:textId="67DBA57B" w:rsidR="00721985" w:rsidRPr="00EC1B14" w:rsidRDefault="00721985" w:rsidP="00721985">
            <w:pPr>
              <w:pStyle w:val="NoSpacing"/>
              <w:rPr>
                <w:rFonts w:ascii="Arial" w:hAnsi="Arial" w:cs="Arial"/>
                <w:sz w:val="20"/>
                <w:szCs w:val="20"/>
              </w:rPr>
            </w:pPr>
            <w:r w:rsidRPr="00EC1B14">
              <w:rPr>
                <w:rFonts w:ascii="Arial" w:hAnsi="Arial" w:cs="Arial"/>
                <w:sz w:val="20"/>
                <w:szCs w:val="20"/>
              </w:rPr>
              <w:t>Kenya Meteorological Department</w:t>
            </w:r>
          </w:p>
          <w:p w14:paraId="1087DCC1" w14:textId="6BC8FDE6"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Land and Physical Planning</w:t>
            </w:r>
          </w:p>
          <w:p w14:paraId="1B10E774"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The National Treasury and Economic Planning</w:t>
            </w:r>
          </w:p>
          <w:p w14:paraId="36BAFABD" w14:textId="6E4653FC"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Transport, Infrastructure, Housing and Urban Development</w:t>
            </w:r>
          </w:p>
        </w:tc>
      </w:tr>
      <w:tr w:rsidR="00721985" w:rsidRPr="00EC1B14" w14:paraId="20231978" w14:textId="77777777" w:rsidTr="00721985">
        <w:tc>
          <w:tcPr>
            <w:tcW w:w="1627" w:type="dxa"/>
          </w:tcPr>
          <w:p w14:paraId="4B9A2AE9" w14:textId="01E64F76" w:rsidR="00721985" w:rsidRPr="00EC1B14" w:rsidRDefault="00721985" w:rsidP="00721985">
            <w:pPr>
              <w:pStyle w:val="NoSpacing"/>
              <w:rPr>
                <w:rFonts w:ascii="Arial" w:hAnsi="Arial" w:cs="Arial"/>
                <w:sz w:val="20"/>
                <w:szCs w:val="20"/>
              </w:rPr>
            </w:pPr>
            <w:r w:rsidRPr="00EC1B14">
              <w:rPr>
                <w:rFonts w:ascii="Arial" w:hAnsi="Arial" w:cs="Arial"/>
                <w:sz w:val="20"/>
                <w:szCs w:val="20"/>
              </w:rPr>
              <w:t>Infrastructure</w:t>
            </w:r>
          </w:p>
        </w:tc>
        <w:tc>
          <w:tcPr>
            <w:tcW w:w="1980" w:type="dxa"/>
          </w:tcPr>
          <w:p w14:paraId="4125E5D7" w14:textId="3EE0147F"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Flooding, landslides, and storms affecting roads, bridges, and buildings</w:t>
            </w:r>
          </w:p>
        </w:tc>
        <w:tc>
          <w:tcPr>
            <w:tcW w:w="1980" w:type="dxa"/>
          </w:tcPr>
          <w:p w14:paraId="746D1BE9" w14:textId="130BA782"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Increased vulnerability to Extreme weather events</w:t>
            </w:r>
          </w:p>
        </w:tc>
        <w:tc>
          <w:tcPr>
            <w:tcW w:w="3847" w:type="dxa"/>
          </w:tcPr>
          <w:p w14:paraId="11C44B6D"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1. Infrastructure vulnerability assessments</w:t>
            </w:r>
          </w:p>
          <w:p w14:paraId="328E436E"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2. Historical extreme weather event impact data 3. Climate resilience indices for infrastructure</w:t>
            </w:r>
          </w:p>
          <w:p w14:paraId="32667CF7" w14:textId="16BD9A98" w:rsidR="00721985" w:rsidRPr="00EC1B14" w:rsidRDefault="00721985" w:rsidP="00721985">
            <w:pPr>
              <w:pStyle w:val="NoSpacing"/>
              <w:rPr>
                <w:rFonts w:ascii="Arial" w:hAnsi="Arial" w:cs="Arial"/>
                <w:sz w:val="20"/>
                <w:szCs w:val="20"/>
              </w:rPr>
            </w:pPr>
            <w:r w:rsidRPr="00EC1B14">
              <w:rPr>
                <w:rFonts w:ascii="Arial" w:hAnsi="Arial" w:cs="Arial"/>
                <w:sz w:val="20"/>
                <w:szCs w:val="20"/>
              </w:rPr>
              <w:t>4. GHG-Scope 1-2-3 operational Co2 emissions data</w:t>
            </w:r>
          </w:p>
        </w:tc>
        <w:tc>
          <w:tcPr>
            <w:tcW w:w="4263" w:type="dxa"/>
          </w:tcPr>
          <w:p w14:paraId="02E08593"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The National Treasury and Economic Planning</w:t>
            </w:r>
          </w:p>
          <w:p w14:paraId="7A710F65"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Transport, Infrastructure, Housing and Urban Development</w:t>
            </w:r>
          </w:p>
          <w:p w14:paraId="5E68A255" w14:textId="4B81DD0E"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Environment, Forestry and Climate Change</w:t>
            </w:r>
          </w:p>
          <w:p w14:paraId="6F288565"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Land and Physical Planning</w:t>
            </w:r>
          </w:p>
          <w:p w14:paraId="20D4D604" w14:textId="009270D3" w:rsidR="00721985" w:rsidRPr="00EC1B14" w:rsidRDefault="00721985" w:rsidP="00721985">
            <w:pPr>
              <w:pStyle w:val="NoSpacing"/>
              <w:rPr>
                <w:rFonts w:ascii="Arial" w:hAnsi="Arial" w:cs="Arial"/>
                <w:sz w:val="20"/>
                <w:szCs w:val="20"/>
              </w:rPr>
            </w:pPr>
            <w:r w:rsidRPr="00EC1B14">
              <w:rPr>
                <w:rFonts w:ascii="Arial" w:hAnsi="Arial" w:cs="Arial"/>
                <w:sz w:val="20"/>
                <w:szCs w:val="20"/>
              </w:rPr>
              <w:t>National Environment Management Authority (NEMA)</w:t>
            </w:r>
          </w:p>
        </w:tc>
      </w:tr>
      <w:tr w:rsidR="00721985" w:rsidRPr="00EC1B14" w14:paraId="17006C5D" w14:textId="77777777" w:rsidTr="00721985">
        <w:tc>
          <w:tcPr>
            <w:tcW w:w="1627" w:type="dxa"/>
          </w:tcPr>
          <w:p w14:paraId="66CC7328" w14:textId="3D5D89CF" w:rsidR="00721985" w:rsidRPr="00EC1B14" w:rsidRDefault="00721985" w:rsidP="00721985">
            <w:pPr>
              <w:pStyle w:val="NoSpacing"/>
              <w:rPr>
                <w:rFonts w:ascii="Arial" w:hAnsi="Arial" w:cs="Arial"/>
                <w:sz w:val="20"/>
                <w:szCs w:val="20"/>
              </w:rPr>
            </w:pPr>
            <w:r w:rsidRPr="00EC1B14">
              <w:rPr>
                <w:rFonts w:ascii="Arial" w:hAnsi="Arial" w:cs="Arial"/>
                <w:sz w:val="20"/>
                <w:szCs w:val="20"/>
              </w:rPr>
              <w:t>Finance</w:t>
            </w:r>
          </w:p>
        </w:tc>
        <w:tc>
          <w:tcPr>
            <w:tcW w:w="1980" w:type="dxa"/>
          </w:tcPr>
          <w:p w14:paraId="357F13B2" w14:textId="77777777"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Climate-related damages affecting investments.</w:t>
            </w:r>
          </w:p>
          <w:p w14:paraId="2821617E" w14:textId="6723590C"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Stranded assets</w:t>
            </w:r>
          </w:p>
        </w:tc>
        <w:tc>
          <w:tcPr>
            <w:tcW w:w="1980" w:type="dxa"/>
          </w:tcPr>
          <w:p w14:paraId="487C9E58" w14:textId="65EF4B1C"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Increased insurance claims</w:t>
            </w:r>
          </w:p>
          <w:p w14:paraId="4C6AA388" w14:textId="6FD36F21"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Exposure to climate-sensitive assets</w:t>
            </w:r>
          </w:p>
        </w:tc>
        <w:tc>
          <w:tcPr>
            <w:tcW w:w="3847" w:type="dxa"/>
          </w:tcPr>
          <w:p w14:paraId="729930B0"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1. Insurance claims data related to climate events</w:t>
            </w:r>
          </w:p>
          <w:p w14:paraId="79EDB743"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2. Portfolio exposure to climate-sensitive assets</w:t>
            </w:r>
          </w:p>
          <w:p w14:paraId="2F9C71C3"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3. Stranded asset risk assessments</w:t>
            </w:r>
          </w:p>
          <w:p w14:paraId="3A13028B" w14:textId="1FC51963" w:rsidR="00721985" w:rsidRPr="00EC1B14" w:rsidRDefault="00721985" w:rsidP="00721985">
            <w:pPr>
              <w:pStyle w:val="NoSpacing"/>
              <w:rPr>
                <w:rFonts w:ascii="Arial" w:hAnsi="Arial" w:cs="Arial"/>
                <w:sz w:val="20"/>
                <w:szCs w:val="20"/>
              </w:rPr>
            </w:pPr>
            <w:r w:rsidRPr="00EC1B14">
              <w:rPr>
                <w:rFonts w:ascii="Arial" w:hAnsi="Arial" w:cs="Arial"/>
                <w:sz w:val="20"/>
                <w:szCs w:val="20"/>
              </w:rPr>
              <w:t>4. GHG-Scope 1-2-3 operational Co2 emissions data</w:t>
            </w:r>
          </w:p>
        </w:tc>
        <w:tc>
          <w:tcPr>
            <w:tcW w:w="4263" w:type="dxa"/>
          </w:tcPr>
          <w:p w14:paraId="676BB2BE"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The National Treasury and Economic Planning</w:t>
            </w:r>
          </w:p>
          <w:p w14:paraId="29B523AD"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Interior and Coordination of National Government</w:t>
            </w:r>
          </w:p>
          <w:p w14:paraId="252678F8"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Transport, Infrastructure, Housing and Urban Development</w:t>
            </w:r>
          </w:p>
          <w:p w14:paraId="4FFB82C2" w14:textId="64C890C0"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Environment, Forestry and Climate Change</w:t>
            </w:r>
          </w:p>
          <w:p w14:paraId="065571EE" w14:textId="7ED41CF2"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Land and Physical Planning</w:t>
            </w:r>
          </w:p>
        </w:tc>
      </w:tr>
      <w:tr w:rsidR="00721985" w:rsidRPr="00EC1B14" w14:paraId="74DB91C3" w14:textId="77777777" w:rsidTr="00721985">
        <w:tc>
          <w:tcPr>
            <w:tcW w:w="1627" w:type="dxa"/>
          </w:tcPr>
          <w:p w14:paraId="4F409A38" w14:textId="5868D437" w:rsidR="00721985" w:rsidRPr="00EC1B14" w:rsidRDefault="00721985" w:rsidP="00721985">
            <w:pPr>
              <w:pStyle w:val="NoSpacing"/>
              <w:rPr>
                <w:rFonts w:ascii="Arial" w:hAnsi="Arial" w:cs="Arial"/>
                <w:sz w:val="20"/>
                <w:szCs w:val="20"/>
              </w:rPr>
            </w:pPr>
            <w:r w:rsidRPr="00EC1B14">
              <w:rPr>
                <w:rFonts w:ascii="Arial" w:hAnsi="Arial" w:cs="Arial"/>
                <w:sz w:val="20"/>
                <w:szCs w:val="20"/>
              </w:rPr>
              <w:t>Manufacturing</w:t>
            </w:r>
          </w:p>
        </w:tc>
        <w:tc>
          <w:tcPr>
            <w:tcW w:w="1980" w:type="dxa"/>
          </w:tcPr>
          <w:p w14:paraId="521C02D7" w14:textId="77777777"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Disruptions in raw material supply due to climate events.</w:t>
            </w:r>
          </w:p>
          <w:p w14:paraId="2D1AC06E" w14:textId="17A5D803"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Increased energy costs</w:t>
            </w:r>
          </w:p>
        </w:tc>
        <w:tc>
          <w:tcPr>
            <w:tcW w:w="1980" w:type="dxa"/>
          </w:tcPr>
          <w:p w14:paraId="48A22A35" w14:textId="23A5DCF7"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Supply chain disruptions</w:t>
            </w:r>
          </w:p>
          <w:p w14:paraId="7C692491" w14:textId="103A0022" w:rsidR="00721985" w:rsidRPr="00EC1B14" w:rsidRDefault="00721985" w:rsidP="00721985">
            <w:pPr>
              <w:pStyle w:val="NoSpacing"/>
              <w:numPr>
                <w:ilvl w:val="0"/>
                <w:numId w:val="8"/>
              </w:numPr>
              <w:ind w:left="247" w:hanging="247"/>
              <w:rPr>
                <w:rFonts w:ascii="Arial" w:hAnsi="Arial" w:cs="Arial"/>
                <w:sz w:val="20"/>
                <w:szCs w:val="20"/>
              </w:rPr>
            </w:pPr>
            <w:r w:rsidRPr="00EC1B14">
              <w:rPr>
                <w:rFonts w:ascii="Arial" w:hAnsi="Arial" w:cs="Arial"/>
                <w:sz w:val="20"/>
                <w:szCs w:val="20"/>
              </w:rPr>
              <w:t>Increased operating costs</w:t>
            </w:r>
          </w:p>
        </w:tc>
        <w:tc>
          <w:tcPr>
            <w:tcW w:w="3847" w:type="dxa"/>
          </w:tcPr>
          <w:p w14:paraId="31C009FE"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1. Supply chain resilience assessments</w:t>
            </w:r>
          </w:p>
          <w:p w14:paraId="2F4C1C75"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2. Historical raw material supply disruptions</w:t>
            </w:r>
          </w:p>
          <w:p w14:paraId="466CF7CC" w14:textId="15EC7D69" w:rsidR="00721985" w:rsidRPr="00EC1B14" w:rsidRDefault="00721985" w:rsidP="00721985">
            <w:pPr>
              <w:pStyle w:val="NoSpacing"/>
              <w:rPr>
                <w:rFonts w:ascii="Arial" w:hAnsi="Arial" w:cs="Arial"/>
                <w:sz w:val="20"/>
                <w:szCs w:val="20"/>
              </w:rPr>
            </w:pPr>
            <w:r w:rsidRPr="00EC1B14">
              <w:rPr>
                <w:rFonts w:ascii="Arial" w:hAnsi="Arial" w:cs="Arial"/>
                <w:sz w:val="20"/>
                <w:szCs w:val="20"/>
              </w:rPr>
              <w:t>3. Energy consumption and cost trends</w:t>
            </w:r>
          </w:p>
        </w:tc>
        <w:tc>
          <w:tcPr>
            <w:tcW w:w="4263" w:type="dxa"/>
          </w:tcPr>
          <w:p w14:paraId="2C93F4DF"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The National Treasury and Economic Planning</w:t>
            </w:r>
          </w:p>
          <w:p w14:paraId="4325CCAE"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Interior and Coordination of National Government</w:t>
            </w:r>
          </w:p>
          <w:p w14:paraId="1C29F57F"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Industrialization, Trade and Enterprise Development</w:t>
            </w:r>
          </w:p>
          <w:p w14:paraId="10BBCB27" w14:textId="77777777" w:rsidR="00721985" w:rsidRPr="00EC1B14" w:rsidRDefault="00721985" w:rsidP="00721985">
            <w:pPr>
              <w:pStyle w:val="NoSpacing"/>
              <w:rPr>
                <w:rFonts w:ascii="Arial" w:hAnsi="Arial" w:cs="Arial"/>
                <w:sz w:val="20"/>
                <w:szCs w:val="20"/>
              </w:rPr>
            </w:pPr>
            <w:r w:rsidRPr="00EC1B14">
              <w:rPr>
                <w:rFonts w:ascii="Arial" w:hAnsi="Arial" w:cs="Arial"/>
                <w:sz w:val="20"/>
                <w:szCs w:val="20"/>
              </w:rPr>
              <w:t>Ministry of Energy</w:t>
            </w:r>
          </w:p>
          <w:p w14:paraId="5D6B34F5" w14:textId="1B80ABD4" w:rsidR="00721985" w:rsidRPr="00EC1B14" w:rsidRDefault="00721985" w:rsidP="00721985">
            <w:pPr>
              <w:pStyle w:val="NoSpacing"/>
              <w:rPr>
                <w:rFonts w:ascii="Arial" w:hAnsi="Arial" w:cs="Arial"/>
                <w:sz w:val="20"/>
                <w:szCs w:val="20"/>
              </w:rPr>
            </w:pPr>
            <w:r w:rsidRPr="00EC1B14">
              <w:rPr>
                <w:rFonts w:ascii="Arial" w:hAnsi="Arial" w:cs="Arial"/>
                <w:sz w:val="20"/>
                <w:szCs w:val="20"/>
              </w:rPr>
              <w:t>National Environment Management Authority (NEMA)</w:t>
            </w:r>
          </w:p>
        </w:tc>
      </w:tr>
    </w:tbl>
    <w:p w14:paraId="613A5E43" w14:textId="77777777" w:rsidR="007E1EE6" w:rsidRPr="00EC1B14" w:rsidRDefault="007E1EE6" w:rsidP="00D25F24">
      <w:pPr>
        <w:spacing w:before="120" w:afterLines="120" w:after="288" w:line="240" w:lineRule="auto"/>
        <w:jc w:val="both"/>
        <w:rPr>
          <w:rFonts w:ascii="Arial" w:hAnsi="Arial" w:cs="Arial"/>
        </w:rPr>
        <w:sectPr w:rsidR="007E1EE6" w:rsidRPr="00EC1B14" w:rsidSect="00CF021E">
          <w:pgSz w:w="16838" w:h="11906" w:orient="landscape"/>
          <w:pgMar w:top="1440" w:right="1440" w:bottom="1440" w:left="1440" w:header="475" w:footer="1281" w:gutter="0"/>
          <w:cols w:space="708"/>
          <w:docGrid w:linePitch="360"/>
        </w:sectPr>
      </w:pPr>
    </w:p>
    <w:p w14:paraId="26F94F49" w14:textId="77777777" w:rsidR="00E64C45" w:rsidRPr="00EC1B14" w:rsidRDefault="00E64C45" w:rsidP="00D25F24">
      <w:pPr>
        <w:pStyle w:val="Heading1"/>
        <w:numPr>
          <w:ilvl w:val="0"/>
          <w:numId w:val="9"/>
        </w:numPr>
        <w:spacing w:before="100" w:beforeAutospacing="1" w:after="100" w:afterAutospacing="1" w:line="240" w:lineRule="auto"/>
        <w:rPr>
          <w:rFonts w:ascii="Arial" w:hAnsi="Arial" w:cs="Arial"/>
          <w:b/>
          <w:bCs/>
          <w:color w:val="auto"/>
          <w:sz w:val="26"/>
          <w:szCs w:val="26"/>
        </w:rPr>
      </w:pPr>
      <w:bookmarkStart w:id="33" w:name="_Toc159248353"/>
      <w:bookmarkStart w:id="34" w:name="_Toc171906999"/>
      <w:r w:rsidRPr="00EC1B14">
        <w:rPr>
          <w:rFonts w:ascii="Arial" w:hAnsi="Arial" w:cs="Arial"/>
          <w:b/>
          <w:bCs/>
          <w:color w:val="auto"/>
          <w:sz w:val="26"/>
          <w:szCs w:val="26"/>
        </w:rPr>
        <w:t>Transition Risks</w:t>
      </w:r>
      <w:bookmarkEnd w:id="33"/>
      <w:bookmarkEnd w:id="34"/>
    </w:p>
    <w:p w14:paraId="10FD1755" w14:textId="37CA470D" w:rsidR="002104B3" w:rsidRPr="00EC1B14" w:rsidRDefault="00E64C45" w:rsidP="00D25F24">
      <w:pPr>
        <w:spacing w:before="100" w:beforeAutospacing="1" w:after="100" w:afterAutospacing="1" w:line="240" w:lineRule="auto"/>
        <w:jc w:val="both"/>
        <w:rPr>
          <w:rFonts w:ascii="Arial" w:hAnsi="Arial" w:cs="Arial"/>
        </w:rPr>
      </w:pPr>
      <w:r w:rsidRPr="00EC1B14">
        <w:rPr>
          <w:rFonts w:ascii="Arial" w:hAnsi="Arial" w:cs="Arial"/>
        </w:rPr>
        <w:t xml:space="preserve">Transition risks refer to the financial risks that result from the process of adjusting towards a lower-carbon economy. These risks emerge from the significant changes needed in policy, technology, and market structures to address climate change through mitigation and adaptation strategies. </w:t>
      </w:r>
      <w:r w:rsidR="00D66D02" w:rsidRPr="00EC1B14">
        <w:rPr>
          <w:rFonts w:ascii="Arial" w:hAnsi="Arial" w:cs="Arial"/>
        </w:rPr>
        <w:t>Kenya’s National Determined Contribution</w:t>
      </w:r>
      <w:r w:rsidR="00593F90" w:rsidRPr="00EC1B14">
        <w:rPr>
          <w:rFonts w:ascii="Arial" w:hAnsi="Arial" w:cs="Arial"/>
        </w:rPr>
        <w:t xml:space="preserve"> (NDC)</w:t>
      </w:r>
      <w:r w:rsidR="00D66D02" w:rsidRPr="00EC1B14">
        <w:rPr>
          <w:rFonts w:ascii="Arial" w:hAnsi="Arial" w:cs="Arial"/>
        </w:rPr>
        <w:t xml:space="preserve"> </w:t>
      </w:r>
      <w:r w:rsidR="007E1EE6" w:rsidRPr="00EC1B14">
        <w:rPr>
          <w:rFonts w:ascii="Arial" w:hAnsi="Arial" w:cs="Arial"/>
        </w:rPr>
        <w:t xml:space="preserve">contains the fundamental target, policy direction and measures for reducing the national emissions and </w:t>
      </w:r>
      <w:r w:rsidR="00593F90" w:rsidRPr="00EC1B14">
        <w:rPr>
          <w:rFonts w:ascii="Arial" w:hAnsi="Arial" w:cs="Arial"/>
        </w:rPr>
        <w:t xml:space="preserve">intertwines with transition risk by providing communication on the 5-year NDC strategy. Policy frameworks developed through mitigation and adaptation strategies must consider the legal consequences and the market effect. In addition, technological </w:t>
      </w:r>
      <w:r w:rsidR="007E1EE6" w:rsidRPr="00EC1B14">
        <w:rPr>
          <w:rFonts w:ascii="Arial" w:hAnsi="Arial" w:cs="Arial"/>
        </w:rPr>
        <w:t>advancements such as the</w:t>
      </w:r>
      <w:r w:rsidR="006B1573" w:rsidRPr="00EC1B14">
        <w:rPr>
          <w:rFonts w:ascii="Arial" w:hAnsi="Arial" w:cs="Arial"/>
        </w:rPr>
        <w:t xml:space="preserve"> important</w:t>
      </w:r>
      <w:r w:rsidR="007E1EE6" w:rsidRPr="00EC1B14">
        <w:rPr>
          <w:rFonts w:ascii="Arial" w:hAnsi="Arial" w:cs="Arial"/>
        </w:rPr>
        <w:t xml:space="preserve"> growth of fintech should be </w:t>
      </w:r>
      <w:r w:rsidR="00C459A6" w:rsidRPr="00EC1B14">
        <w:rPr>
          <w:rFonts w:ascii="Arial" w:hAnsi="Arial" w:cs="Arial"/>
        </w:rPr>
        <w:t>regarded</w:t>
      </w:r>
      <w:r w:rsidR="00373420" w:rsidRPr="00EC1B14">
        <w:rPr>
          <w:rFonts w:ascii="Arial" w:hAnsi="Arial" w:cs="Arial"/>
        </w:rPr>
        <w:t>,</w:t>
      </w:r>
      <w:r w:rsidR="00C459A6" w:rsidRPr="00EC1B14">
        <w:rPr>
          <w:rFonts w:ascii="Arial" w:hAnsi="Arial" w:cs="Arial"/>
        </w:rPr>
        <w:t xml:space="preserve"> </w:t>
      </w:r>
      <w:r w:rsidR="007E1EE6" w:rsidRPr="00EC1B14">
        <w:rPr>
          <w:rFonts w:ascii="Arial" w:hAnsi="Arial" w:cs="Arial"/>
        </w:rPr>
        <w:t>as well as the reputational risks of inaction.</w:t>
      </w:r>
      <w:r w:rsidR="00D66D02" w:rsidRPr="00EC1B14">
        <w:rPr>
          <w:rFonts w:ascii="Arial" w:hAnsi="Arial" w:cs="Arial"/>
        </w:rPr>
        <w:t xml:space="preserve"> </w:t>
      </w:r>
    </w:p>
    <w:p w14:paraId="14342D87" w14:textId="2616E67C" w:rsidR="002104B3" w:rsidRPr="00EC1B14" w:rsidRDefault="002104B3" w:rsidP="00D25F24">
      <w:pPr>
        <w:spacing w:before="100" w:beforeAutospacing="1" w:after="100" w:afterAutospacing="1" w:line="240" w:lineRule="auto"/>
        <w:jc w:val="both"/>
        <w:rPr>
          <w:rFonts w:ascii="Arial" w:hAnsi="Arial" w:cs="Arial"/>
        </w:rPr>
      </w:pPr>
      <w:r w:rsidRPr="00EC1B14">
        <w:rPr>
          <w:rFonts w:ascii="Arial" w:hAnsi="Arial" w:cs="Arial"/>
        </w:rPr>
        <w:t xml:space="preserve">The Kenya banking sector is posed with the multi-faceted angles associated with transition risks. </w:t>
      </w:r>
      <w:r w:rsidR="00D36A16" w:rsidRPr="00EC1B14">
        <w:rPr>
          <w:rFonts w:ascii="Arial" w:hAnsi="Arial" w:cs="Arial"/>
        </w:rPr>
        <w:t>On the one hand</w:t>
      </w:r>
      <w:r w:rsidRPr="00EC1B14">
        <w:rPr>
          <w:rFonts w:ascii="Arial" w:hAnsi="Arial" w:cs="Arial"/>
        </w:rPr>
        <w:t xml:space="preserve">, banks need to understand their exposure to climate change, ranging from domestic and international policies to changes in consumer preferences and technology. For this, the use of the </w:t>
      </w:r>
      <w:r w:rsidR="00217B5C" w:rsidRPr="00EC1B14">
        <w:rPr>
          <w:rFonts w:ascii="Arial" w:hAnsi="Arial" w:cs="Arial"/>
        </w:rPr>
        <w:t xml:space="preserve">GHG </w:t>
      </w:r>
      <w:r w:rsidRPr="00EC1B14">
        <w:rPr>
          <w:rFonts w:ascii="Arial" w:hAnsi="Arial" w:cs="Arial"/>
        </w:rPr>
        <w:t>Emissions Exposure Index</w:t>
      </w:r>
      <w:r w:rsidR="00BB17CF" w:rsidRPr="00EC1B14">
        <w:rPr>
          <w:rFonts w:ascii="Arial" w:hAnsi="Arial" w:cs="Arial"/>
        </w:rPr>
        <w:t xml:space="preserve"> </w:t>
      </w:r>
      <w:r w:rsidRPr="00EC1B14">
        <w:rPr>
          <w:rFonts w:ascii="Arial" w:hAnsi="Arial" w:cs="Arial"/>
        </w:rPr>
        <w:t>(EEi)</w:t>
      </w:r>
      <w:r w:rsidR="001E494C" w:rsidRPr="00EC1B14">
        <w:rPr>
          <w:rFonts w:ascii="Arial" w:hAnsi="Arial" w:cs="Arial"/>
        </w:rPr>
        <w:t xml:space="preserve"> can help in understanding the segments that are at risk in the portfolio of a financial institution. Similarly, banks need to understand how the climate action landscape is changing, particularly in alignment with national and international efforts. It is expected that the use of green taxonomies, </w:t>
      </w:r>
      <w:r w:rsidR="00D36A16" w:rsidRPr="00EC1B14">
        <w:rPr>
          <w:rFonts w:ascii="Arial" w:hAnsi="Arial" w:cs="Arial"/>
        </w:rPr>
        <w:t xml:space="preserve">such </w:t>
      </w:r>
      <w:r w:rsidR="001E494C" w:rsidRPr="00EC1B14">
        <w:rPr>
          <w:rFonts w:ascii="Arial" w:hAnsi="Arial" w:cs="Arial"/>
        </w:rPr>
        <w:t xml:space="preserve">as the one being developed in Kenya, could support the coordination with investors and financial intermediaries in defining </w:t>
      </w:r>
      <w:r w:rsidR="00D36A16" w:rsidRPr="00EC1B14">
        <w:rPr>
          <w:rFonts w:ascii="Arial" w:hAnsi="Arial" w:cs="Arial"/>
        </w:rPr>
        <w:t>green investment in the sectors and</w:t>
      </w:r>
      <w:r w:rsidR="001E494C" w:rsidRPr="00EC1B14">
        <w:rPr>
          <w:rFonts w:ascii="Arial" w:hAnsi="Arial" w:cs="Arial"/>
        </w:rPr>
        <w:t xml:space="preserve"> the economic activities. For this purpose, the use of the </w:t>
      </w:r>
      <w:r w:rsidRPr="00EC1B14">
        <w:rPr>
          <w:rFonts w:ascii="Arial" w:hAnsi="Arial" w:cs="Arial"/>
        </w:rPr>
        <w:t xml:space="preserve">Emissions </w:t>
      </w:r>
      <w:r w:rsidR="00F45A6A" w:rsidRPr="00EC1B14">
        <w:rPr>
          <w:rFonts w:ascii="Arial" w:hAnsi="Arial" w:cs="Arial"/>
        </w:rPr>
        <w:t xml:space="preserve">Holding </w:t>
      </w:r>
      <w:r w:rsidRPr="00EC1B14">
        <w:rPr>
          <w:rFonts w:ascii="Arial" w:hAnsi="Arial" w:cs="Arial"/>
        </w:rPr>
        <w:t>Index</w:t>
      </w:r>
      <w:r w:rsidR="00BB17CF" w:rsidRPr="00EC1B14">
        <w:rPr>
          <w:rFonts w:ascii="Arial" w:hAnsi="Arial" w:cs="Arial"/>
        </w:rPr>
        <w:t xml:space="preserve"> </w:t>
      </w:r>
      <w:r w:rsidRPr="00EC1B14">
        <w:rPr>
          <w:rFonts w:ascii="Arial" w:hAnsi="Arial" w:cs="Arial"/>
        </w:rPr>
        <w:t>(E</w:t>
      </w:r>
      <w:r w:rsidR="00F45A6A" w:rsidRPr="00EC1B14">
        <w:rPr>
          <w:rFonts w:ascii="Arial" w:hAnsi="Arial" w:cs="Arial"/>
        </w:rPr>
        <w:t>H</w:t>
      </w:r>
      <w:r w:rsidRPr="00EC1B14">
        <w:rPr>
          <w:rFonts w:ascii="Arial" w:hAnsi="Arial" w:cs="Arial"/>
        </w:rPr>
        <w:t>i)</w:t>
      </w:r>
      <w:r w:rsidR="001E494C" w:rsidRPr="00EC1B14">
        <w:rPr>
          <w:rFonts w:ascii="Arial" w:hAnsi="Arial" w:cs="Arial"/>
        </w:rPr>
        <w:t xml:space="preserve"> could help in understanding how the strategic alignment of the bank with climate action could improve or deteriorate its access to financing</w:t>
      </w:r>
      <w:r w:rsidRPr="00EC1B14">
        <w:rPr>
          <w:rFonts w:ascii="Arial" w:hAnsi="Arial" w:cs="Arial"/>
        </w:rPr>
        <w:t>.</w:t>
      </w:r>
    </w:p>
    <w:p w14:paraId="10AE138F" w14:textId="5874CEF3" w:rsidR="00E64C45" w:rsidRPr="00EC1B14" w:rsidRDefault="00E64C45" w:rsidP="00D25F24">
      <w:pPr>
        <w:spacing w:before="100" w:beforeAutospacing="1" w:after="100" w:afterAutospacing="1" w:line="240" w:lineRule="auto"/>
        <w:jc w:val="both"/>
        <w:rPr>
          <w:rFonts w:ascii="Arial" w:hAnsi="Arial" w:cs="Arial"/>
        </w:rPr>
      </w:pPr>
      <w:r w:rsidRPr="00EC1B14">
        <w:rPr>
          <w:rFonts w:ascii="Arial" w:hAnsi="Arial" w:cs="Arial"/>
        </w:rPr>
        <w:t xml:space="preserve">Organisations face </w:t>
      </w:r>
      <w:r w:rsidR="002151E5" w:rsidRPr="00EC1B14">
        <w:rPr>
          <w:rFonts w:ascii="Arial" w:hAnsi="Arial" w:cs="Arial"/>
        </w:rPr>
        <w:t>climate transition risks</w:t>
      </w:r>
      <w:r w:rsidRPr="00EC1B14">
        <w:rPr>
          <w:rFonts w:ascii="Arial" w:hAnsi="Arial" w:cs="Arial"/>
        </w:rPr>
        <w:t xml:space="preserve"> associated with how effectively and swiftly they adapt to these changes and shift towards reducing greenhouse gas emissions and embracing renewable energy. These risks vary in type and intensity. Key categories of </w:t>
      </w:r>
      <w:r w:rsidR="002151E5" w:rsidRPr="00EC1B14">
        <w:rPr>
          <w:rFonts w:ascii="Arial" w:hAnsi="Arial" w:cs="Arial"/>
        </w:rPr>
        <w:t>climate transition risks</w:t>
      </w:r>
      <w:r w:rsidRPr="00EC1B14">
        <w:rPr>
          <w:rFonts w:ascii="Arial" w:hAnsi="Arial" w:cs="Arial"/>
        </w:rPr>
        <w:t xml:space="preserve"> are policy and legal, technology, market and reputation.</w:t>
      </w:r>
    </w:p>
    <w:p w14:paraId="0CBF94E0" w14:textId="56395A9F" w:rsidR="006D76F1" w:rsidRPr="00EC1B14" w:rsidRDefault="00887450" w:rsidP="00D25F24">
      <w:pPr>
        <w:pStyle w:val="Heading2"/>
        <w:spacing w:before="100" w:beforeAutospacing="1" w:after="100" w:afterAutospacing="1" w:line="240" w:lineRule="auto"/>
        <w:rPr>
          <w:rFonts w:ascii="Arial" w:hAnsi="Arial" w:cs="Arial"/>
          <w:b/>
          <w:bCs/>
          <w:color w:val="auto"/>
          <w:sz w:val="24"/>
          <w:szCs w:val="24"/>
        </w:rPr>
      </w:pPr>
      <w:bookmarkStart w:id="35" w:name="_Toc159248355"/>
      <w:bookmarkStart w:id="36" w:name="_Toc171907000"/>
      <w:r w:rsidRPr="00EC1B14">
        <w:rPr>
          <w:rFonts w:ascii="Arial" w:hAnsi="Arial" w:cs="Arial"/>
          <w:b/>
          <w:bCs/>
          <w:color w:val="auto"/>
          <w:sz w:val="24"/>
          <w:szCs w:val="24"/>
        </w:rPr>
        <w:t xml:space="preserve">Regulatory </w:t>
      </w:r>
      <w:r w:rsidR="00E64C45" w:rsidRPr="00EC1B14">
        <w:rPr>
          <w:rFonts w:ascii="Arial" w:hAnsi="Arial" w:cs="Arial"/>
          <w:b/>
          <w:bCs/>
          <w:color w:val="auto"/>
          <w:sz w:val="24"/>
          <w:szCs w:val="24"/>
        </w:rPr>
        <w:t>and Legal Risks</w:t>
      </w:r>
      <w:bookmarkEnd w:id="35"/>
      <w:bookmarkEnd w:id="36"/>
    </w:p>
    <w:p w14:paraId="2CBF0E19" w14:textId="71F9A4DB" w:rsidR="006D76F1" w:rsidRPr="00EC1B14" w:rsidRDefault="006D76F1" w:rsidP="00D25F24">
      <w:pPr>
        <w:pStyle w:val="NoSpacing"/>
        <w:spacing w:before="100" w:beforeAutospacing="1" w:after="100" w:afterAutospacing="1"/>
        <w:jc w:val="both"/>
        <w:rPr>
          <w:rFonts w:ascii="Arial" w:hAnsi="Arial" w:cs="Arial"/>
        </w:rPr>
      </w:pPr>
      <w:r w:rsidRPr="00EC1B14">
        <w:rPr>
          <w:rFonts w:ascii="Arial" w:hAnsi="Arial" w:cs="Arial"/>
        </w:rPr>
        <w:t xml:space="preserve">This transition risk refers to the legal actions and complications that arise from the existing and emerging regulatory development </w:t>
      </w:r>
      <w:r w:rsidR="007E1EE6" w:rsidRPr="00EC1B14">
        <w:rPr>
          <w:rFonts w:ascii="Arial" w:hAnsi="Arial" w:cs="Arial"/>
        </w:rPr>
        <w:t>addressing</w:t>
      </w:r>
      <w:r w:rsidRPr="00EC1B14">
        <w:rPr>
          <w:rFonts w:ascii="Arial" w:hAnsi="Arial" w:cs="Arial"/>
        </w:rPr>
        <w:t xml:space="preserve"> climate change. Existing and new environmental regulations require compliance that attracts legal risks in instances of non-compliance. These risks could include a lack of detail in climate disclosures, legal battles on behalf of an unsatisfied consumer, or the </w:t>
      </w:r>
      <w:r w:rsidR="00985947" w:rsidRPr="00EC1B14">
        <w:rPr>
          <w:rFonts w:ascii="Arial" w:hAnsi="Arial" w:cs="Arial"/>
        </w:rPr>
        <w:t xml:space="preserve">requirement </w:t>
      </w:r>
      <w:r w:rsidR="00C459A6" w:rsidRPr="00EC1B14">
        <w:rPr>
          <w:rFonts w:ascii="Arial" w:hAnsi="Arial" w:cs="Arial"/>
        </w:rPr>
        <w:t>to implement energy-efficient technologies rapidly</w:t>
      </w:r>
      <w:r w:rsidRPr="00EC1B14">
        <w:rPr>
          <w:rFonts w:ascii="Arial" w:hAnsi="Arial" w:cs="Arial"/>
        </w:rPr>
        <w:t>. Similarly</w:t>
      </w:r>
      <w:r w:rsidR="007E1EE6" w:rsidRPr="00EC1B14">
        <w:rPr>
          <w:rFonts w:ascii="Arial" w:hAnsi="Arial" w:cs="Arial"/>
        </w:rPr>
        <w:t xml:space="preserve">, new policies are being developed to mitigate and adapt to climate change, such as </w:t>
      </w:r>
      <w:r w:rsidR="00C459A6" w:rsidRPr="00EC1B14">
        <w:rPr>
          <w:rFonts w:ascii="Arial" w:hAnsi="Arial" w:cs="Arial"/>
        </w:rPr>
        <w:t>creating</w:t>
      </w:r>
      <w:r w:rsidRPr="00EC1B14">
        <w:rPr>
          <w:rFonts w:ascii="Arial" w:hAnsi="Arial" w:cs="Arial"/>
        </w:rPr>
        <w:t xml:space="preserve"> a carbon pricing mechanism that could </w:t>
      </w:r>
      <w:r w:rsidR="00C459A6" w:rsidRPr="00EC1B14">
        <w:rPr>
          <w:rFonts w:ascii="Arial" w:hAnsi="Arial" w:cs="Arial"/>
        </w:rPr>
        <w:t>financially impact</w:t>
      </w:r>
      <w:r w:rsidRPr="00EC1B14">
        <w:rPr>
          <w:rFonts w:ascii="Arial" w:hAnsi="Arial" w:cs="Arial"/>
        </w:rPr>
        <w:t xml:space="preserve"> a company.</w:t>
      </w:r>
    </w:p>
    <w:p w14:paraId="05426663" w14:textId="284D170C" w:rsidR="006D76F1" w:rsidRPr="00EC1B14" w:rsidRDefault="006D76F1" w:rsidP="00D25F24">
      <w:pPr>
        <w:pStyle w:val="Heading2"/>
        <w:spacing w:before="100" w:beforeAutospacing="1" w:after="100" w:afterAutospacing="1" w:line="240" w:lineRule="auto"/>
        <w:rPr>
          <w:rFonts w:ascii="Arial" w:hAnsi="Arial" w:cs="Arial"/>
          <w:b/>
          <w:bCs/>
          <w:color w:val="auto"/>
          <w:sz w:val="24"/>
          <w:szCs w:val="24"/>
        </w:rPr>
      </w:pPr>
      <w:bookmarkStart w:id="37" w:name="_Toc159248356"/>
      <w:bookmarkStart w:id="38" w:name="_Toc171907001"/>
      <w:r w:rsidRPr="00EC1B14">
        <w:rPr>
          <w:rFonts w:ascii="Arial" w:hAnsi="Arial" w:cs="Arial"/>
          <w:b/>
          <w:bCs/>
          <w:color w:val="auto"/>
          <w:sz w:val="24"/>
          <w:szCs w:val="24"/>
        </w:rPr>
        <w:t>Technolog</w:t>
      </w:r>
      <w:r w:rsidR="00240168" w:rsidRPr="00EC1B14">
        <w:rPr>
          <w:rFonts w:ascii="Arial" w:hAnsi="Arial" w:cs="Arial"/>
          <w:b/>
          <w:bCs/>
          <w:color w:val="auto"/>
          <w:sz w:val="24"/>
          <w:szCs w:val="24"/>
        </w:rPr>
        <w:t>ical</w:t>
      </w:r>
      <w:r w:rsidRPr="00EC1B14">
        <w:rPr>
          <w:rFonts w:ascii="Arial" w:hAnsi="Arial" w:cs="Arial"/>
          <w:b/>
          <w:bCs/>
          <w:color w:val="auto"/>
          <w:sz w:val="24"/>
          <w:szCs w:val="24"/>
        </w:rPr>
        <w:t xml:space="preserve"> Risks</w:t>
      </w:r>
      <w:bookmarkEnd w:id="37"/>
      <w:bookmarkEnd w:id="38"/>
    </w:p>
    <w:p w14:paraId="4D152281" w14:textId="4FF94246" w:rsidR="006D76F1" w:rsidRPr="00EC1B14" w:rsidRDefault="006D76F1" w:rsidP="00D25F24">
      <w:pPr>
        <w:pStyle w:val="NoSpacing"/>
        <w:spacing w:before="100" w:beforeAutospacing="1" w:after="100" w:afterAutospacing="1"/>
        <w:jc w:val="both"/>
        <w:rPr>
          <w:rFonts w:ascii="Arial" w:hAnsi="Arial" w:cs="Arial"/>
        </w:rPr>
      </w:pPr>
      <w:r w:rsidRPr="00EC1B14">
        <w:rPr>
          <w:rFonts w:ascii="Arial" w:hAnsi="Arial" w:cs="Arial"/>
        </w:rPr>
        <w:t xml:space="preserve">Technological improvements or innovations that support the transition to a lower-carbon, energy-efficient economic system can </w:t>
      </w:r>
      <w:r w:rsidR="00C459A6" w:rsidRPr="00EC1B14">
        <w:rPr>
          <w:rFonts w:ascii="Arial" w:hAnsi="Arial" w:cs="Arial"/>
        </w:rPr>
        <w:t>significantly impact</w:t>
      </w:r>
      <w:r w:rsidRPr="00EC1B14">
        <w:rPr>
          <w:rFonts w:ascii="Arial" w:hAnsi="Arial" w:cs="Arial"/>
        </w:rPr>
        <w:t xml:space="preserve"> organisations. To the extent that new technology displaces old systems and disrupts some parts of the existing </w:t>
      </w:r>
      <w:r w:rsidR="00C459A6" w:rsidRPr="00EC1B14">
        <w:rPr>
          <w:rFonts w:ascii="Arial" w:hAnsi="Arial" w:cs="Arial"/>
        </w:rPr>
        <w:t>financial</w:t>
      </w:r>
      <w:r w:rsidRPr="00EC1B14">
        <w:rPr>
          <w:rFonts w:ascii="Arial" w:hAnsi="Arial" w:cs="Arial"/>
        </w:rPr>
        <w:t xml:space="preserve"> system, winners and losers will emerge from this "creative destruction" process. </w:t>
      </w:r>
      <w:r w:rsidR="00C459A6" w:rsidRPr="00EC1B14">
        <w:rPr>
          <w:rFonts w:ascii="Arial" w:hAnsi="Arial" w:cs="Arial"/>
        </w:rPr>
        <w:t xml:space="preserve">However, </w:t>
      </w:r>
      <w:r w:rsidR="00373420" w:rsidRPr="00EC1B14">
        <w:rPr>
          <w:rFonts w:ascii="Arial" w:hAnsi="Arial" w:cs="Arial"/>
        </w:rPr>
        <w:t>technology development and deployment timing are</w:t>
      </w:r>
      <w:r w:rsidRPr="00EC1B14">
        <w:rPr>
          <w:rFonts w:ascii="Arial" w:hAnsi="Arial" w:cs="Arial"/>
        </w:rPr>
        <w:t xml:space="preserve"> </w:t>
      </w:r>
      <w:r w:rsidR="00C459A6" w:rsidRPr="00EC1B14">
        <w:rPr>
          <w:rFonts w:ascii="Arial" w:hAnsi="Arial" w:cs="Arial"/>
        </w:rPr>
        <w:t xml:space="preserve">critical </w:t>
      </w:r>
      <w:r w:rsidRPr="00EC1B14">
        <w:rPr>
          <w:rFonts w:ascii="Arial" w:hAnsi="Arial" w:cs="Arial"/>
        </w:rPr>
        <w:t xml:space="preserve">in assessing technology risk. Risks </w:t>
      </w:r>
      <w:r w:rsidR="00373420" w:rsidRPr="00EC1B14">
        <w:rPr>
          <w:rFonts w:ascii="Arial" w:hAnsi="Arial" w:cs="Arial"/>
        </w:rPr>
        <w:t>arising</w:t>
      </w:r>
      <w:r w:rsidRPr="00EC1B14">
        <w:rPr>
          <w:rFonts w:ascii="Arial" w:hAnsi="Arial" w:cs="Arial"/>
        </w:rPr>
        <w:t xml:space="preserve"> from technology include additional costs and expenditures, technology marketability, return on investment</w:t>
      </w:r>
      <w:r w:rsidR="00C459A6" w:rsidRPr="00EC1B14">
        <w:rPr>
          <w:rFonts w:ascii="Arial" w:hAnsi="Arial" w:cs="Arial"/>
        </w:rPr>
        <w:t>, product/service effectiveness,</w:t>
      </w:r>
      <w:r w:rsidRPr="00EC1B14">
        <w:rPr>
          <w:rFonts w:ascii="Arial" w:hAnsi="Arial" w:cs="Arial"/>
        </w:rPr>
        <w:t xml:space="preserve"> and life cycle. In addition, more resources will be required for research and development and enhancing </w:t>
      </w:r>
      <w:r w:rsidR="00C459A6" w:rsidRPr="00EC1B14">
        <w:rPr>
          <w:rFonts w:ascii="Arial" w:hAnsi="Arial" w:cs="Arial"/>
        </w:rPr>
        <w:t xml:space="preserve">the </w:t>
      </w:r>
      <w:r w:rsidRPr="00EC1B14">
        <w:rPr>
          <w:rFonts w:ascii="Arial" w:hAnsi="Arial" w:cs="Arial"/>
        </w:rPr>
        <w:t>capacity and capability of firms.</w:t>
      </w:r>
    </w:p>
    <w:p w14:paraId="3A9A9059" w14:textId="2C810F45" w:rsidR="006D76F1" w:rsidRPr="00EC1B14" w:rsidRDefault="006D76F1" w:rsidP="00D25F24">
      <w:pPr>
        <w:pStyle w:val="Heading2"/>
        <w:spacing w:before="100" w:beforeAutospacing="1" w:after="100" w:afterAutospacing="1" w:line="240" w:lineRule="auto"/>
        <w:rPr>
          <w:rFonts w:ascii="Arial" w:hAnsi="Arial" w:cs="Arial"/>
          <w:b/>
          <w:bCs/>
          <w:color w:val="auto"/>
          <w:sz w:val="24"/>
          <w:szCs w:val="24"/>
        </w:rPr>
      </w:pPr>
      <w:bookmarkStart w:id="39" w:name="_Toc159248357"/>
      <w:bookmarkStart w:id="40" w:name="_Toc171907002"/>
      <w:r w:rsidRPr="00EC1B14">
        <w:rPr>
          <w:rFonts w:ascii="Arial" w:hAnsi="Arial" w:cs="Arial"/>
          <w:b/>
          <w:bCs/>
          <w:color w:val="auto"/>
          <w:sz w:val="24"/>
          <w:szCs w:val="24"/>
        </w:rPr>
        <w:t>Market Risks</w:t>
      </w:r>
      <w:bookmarkEnd w:id="39"/>
      <w:bookmarkEnd w:id="40"/>
    </w:p>
    <w:p w14:paraId="64D81B5F" w14:textId="543FFF73" w:rsidR="006D76F1" w:rsidRPr="00EC1B14" w:rsidRDefault="006D76F1" w:rsidP="00D25F24">
      <w:pPr>
        <w:pStyle w:val="NoSpacing"/>
        <w:spacing w:before="100" w:beforeAutospacing="1" w:after="100" w:afterAutospacing="1"/>
        <w:jc w:val="both"/>
        <w:rPr>
          <w:rFonts w:ascii="Arial" w:hAnsi="Arial" w:cs="Arial"/>
        </w:rPr>
      </w:pPr>
      <w:r w:rsidRPr="00EC1B14">
        <w:rPr>
          <w:rFonts w:ascii="Arial" w:hAnsi="Arial" w:cs="Arial"/>
        </w:rPr>
        <w:t xml:space="preserve">The transition to a </w:t>
      </w:r>
      <w:r w:rsidR="00373420" w:rsidRPr="00EC1B14">
        <w:rPr>
          <w:rFonts w:ascii="Arial" w:hAnsi="Arial" w:cs="Arial"/>
        </w:rPr>
        <w:t>low-carbon</w:t>
      </w:r>
      <w:r w:rsidRPr="00EC1B14">
        <w:rPr>
          <w:rFonts w:ascii="Arial" w:hAnsi="Arial" w:cs="Arial"/>
        </w:rPr>
        <w:t xml:space="preserve"> economy will involve changes in the supply and demand of goods, services and commodities</w:t>
      </w:r>
      <w:r w:rsidR="00462ED9" w:rsidRPr="00EC1B14">
        <w:rPr>
          <w:rFonts w:ascii="Arial" w:hAnsi="Arial" w:cs="Arial"/>
        </w:rPr>
        <w:t xml:space="preserve"> and shifts in</w:t>
      </w:r>
      <w:r w:rsidRPr="00EC1B14">
        <w:rPr>
          <w:rFonts w:ascii="Arial" w:hAnsi="Arial" w:cs="Arial"/>
        </w:rPr>
        <w:t xml:space="preserve"> relative prices. Firms that adapt to this complex, nonlinear and dynamic context will navigate the transition more successfully than those that do not understand the nature of these changes. While </w:t>
      </w:r>
      <w:r w:rsidR="00462ED9" w:rsidRPr="00EC1B14">
        <w:rPr>
          <w:rFonts w:ascii="Arial" w:hAnsi="Arial" w:cs="Arial"/>
        </w:rPr>
        <w:t>how</w:t>
      </w:r>
      <w:r w:rsidRPr="00EC1B14">
        <w:rPr>
          <w:rFonts w:ascii="Arial" w:hAnsi="Arial" w:cs="Arial"/>
        </w:rPr>
        <w:t xml:space="preserve"> markets could be affected by climate change </w:t>
      </w:r>
      <w:r w:rsidR="00462ED9" w:rsidRPr="00EC1B14">
        <w:rPr>
          <w:rFonts w:ascii="Arial" w:hAnsi="Arial" w:cs="Arial"/>
        </w:rPr>
        <w:t>is varied and complex, one of the significant ways is through shifts in supply and demand for certain commodities, products, and services</w:t>
      </w:r>
      <w:r w:rsidRPr="00EC1B14">
        <w:rPr>
          <w:rFonts w:ascii="Arial" w:hAnsi="Arial" w:cs="Arial"/>
        </w:rPr>
        <w:t xml:space="preserve"> as climate-related risks and opportunities are increasingly considered. Market risks include the impact on market size, coverage and growth potential, product portfolio changes and consumer environmental consciousness that shifts their behaviours and preferences. </w:t>
      </w:r>
      <w:r w:rsidR="001E494C" w:rsidRPr="00EC1B14">
        <w:rPr>
          <w:rFonts w:ascii="Arial" w:hAnsi="Arial" w:cs="Arial"/>
        </w:rPr>
        <w:t>One of the most prominent market transition risks is associated with the Carbon Border Adjustment Mechanism</w:t>
      </w:r>
      <w:r w:rsidR="003608D2" w:rsidRPr="00EC1B14">
        <w:rPr>
          <w:rFonts w:ascii="Arial" w:hAnsi="Arial" w:cs="Arial"/>
        </w:rPr>
        <w:t xml:space="preserve"> (CBAM)</w:t>
      </w:r>
      <w:r w:rsidR="001E494C" w:rsidRPr="00EC1B14">
        <w:rPr>
          <w:rFonts w:ascii="Arial" w:hAnsi="Arial" w:cs="Arial"/>
        </w:rPr>
        <w:t xml:space="preserve">, as a formal instrument to tax the real sector for products entering the European Union. In this context, Kenya has been identified as one of the countries more affected by the introduction of this market instrument that will affect exports in Kenya. </w:t>
      </w:r>
    </w:p>
    <w:p w14:paraId="5BDF30AE" w14:textId="040CDB0A" w:rsidR="006D76F1" w:rsidRPr="00EC1B14" w:rsidRDefault="006D76F1" w:rsidP="00D25F24">
      <w:pPr>
        <w:pStyle w:val="Heading2"/>
        <w:spacing w:before="100" w:beforeAutospacing="1" w:after="100" w:afterAutospacing="1" w:line="240" w:lineRule="auto"/>
        <w:rPr>
          <w:rFonts w:ascii="Arial" w:hAnsi="Arial" w:cs="Arial"/>
          <w:b/>
          <w:bCs/>
          <w:color w:val="auto"/>
          <w:sz w:val="24"/>
          <w:szCs w:val="24"/>
        </w:rPr>
      </w:pPr>
      <w:bookmarkStart w:id="41" w:name="_Toc159248358"/>
      <w:bookmarkStart w:id="42" w:name="_Toc171907003"/>
      <w:r w:rsidRPr="00EC1B14">
        <w:rPr>
          <w:rFonts w:ascii="Arial" w:hAnsi="Arial" w:cs="Arial"/>
          <w:b/>
          <w:bCs/>
          <w:color w:val="auto"/>
          <w:sz w:val="24"/>
          <w:szCs w:val="24"/>
        </w:rPr>
        <w:t>Reputation</w:t>
      </w:r>
      <w:r w:rsidR="00240168" w:rsidRPr="00EC1B14">
        <w:rPr>
          <w:rFonts w:ascii="Arial" w:hAnsi="Arial" w:cs="Arial"/>
          <w:b/>
          <w:bCs/>
          <w:color w:val="auto"/>
          <w:sz w:val="24"/>
          <w:szCs w:val="24"/>
        </w:rPr>
        <w:t>al</w:t>
      </w:r>
      <w:r w:rsidRPr="00EC1B14">
        <w:rPr>
          <w:rFonts w:ascii="Arial" w:hAnsi="Arial" w:cs="Arial"/>
          <w:b/>
          <w:bCs/>
          <w:color w:val="auto"/>
          <w:sz w:val="24"/>
          <w:szCs w:val="24"/>
        </w:rPr>
        <w:t xml:space="preserve"> Risks</w:t>
      </w:r>
      <w:bookmarkEnd w:id="41"/>
      <w:bookmarkEnd w:id="42"/>
    </w:p>
    <w:p w14:paraId="79411F8E" w14:textId="2EFDB769" w:rsidR="006D76F1" w:rsidRPr="00EC1B14" w:rsidRDefault="006D76F1" w:rsidP="00D25F24">
      <w:pPr>
        <w:pStyle w:val="NoSpacing"/>
        <w:spacing w:before="100" w:beforeAutospacing="1" w:after="100" w:afterAutospacing="1"/>
        <w:jc w:val="both"/>
        <w:rPr>
          <w:rFonts w:ascii="Arial" w:hAnsi="Arial" w:cs="Arial"/>
        </w:rPr>
      </w:pPr>
      <w:r w:rsidRPr="00EC1B14">
        <w:rPr>
          <w:rFonts w:ascii="Arial" w:hAnsi="Arial" w:cs="Arial"/>
        </w:rPr>
        <w:t xml:space="preserve">Climate change has been identified as a potential source of reputational risk tied to changing customer or community perceptions of an organisation's contribution to or detraction from the transition to a lower-carbon economy. </w:t>
      </w:r>
      <w:r w:rsidR="00985947" w:rsidRPr="00EC1B14">
        <w:rPr>
          <w:rFonts w:ascii="Arial" w:hAnsi="Arial" w:cs="Arial"/>
        </w:rPr>
        <w:t>C</w:t>
      </w:r>
      <w:r w:rsidRPr="00EC1B14">
        <w:rPr>
          <w:rFonts w:ascii="Arial" w:hAnsi="Arial" w:cs="Arial"/>
        </w:rPr>
        <w:t xml:space="preserve">onsumers are starting to seek more sustainable choices when shopping, </w:t>
      </w:r>
      <w:r w:rsidR="00373420" w:rsidRPr="00EC1B14">
        <w:rPr>
          <w:rFonts w:ascii="Arial" w:hAnsi="Arial" w:cs="Arial"/>
        </w:rPr>
        <w:t>meaning</w:t>
      </w:r>
      <w:r w:rsidRPr="00EC1B14">
        <w:rPr>
          <w:rFonts w:ascii="Arial" w:hAnsi="Arial" w:cs="Arial"/>
        </w:rPr>
        <w:t xml:space="preserve"> </w:t>
      </w:r>
      <w:r w:rsidR="00985947" w:rsidRPr="00EC1B14">
        <w:rPr>
          <w:rFonts w:ascii="Arial" w:hAnsi="Arial" w:cs="Arial"/>
        </w:rPr>
        <w:t>organisations</w:t>
      </w:r>
      <w:r w:rsidRPr="00EC1B14">
        <w:rPr>
          <w:rFonts w:ascii="Arial" w:hAnsi="Arial" w:cs="Arial"/>
        </w:rPr>
        <w:t xml:space="preserve"> that willingly choose not to</w:t>
      </w:r>
      <w:r w:rsidR="00B27ABF" w:rsidRPr="00EC1B14">
        <w:rPr>
          <w:rFonts w:ascii="Arial" w:hAnsi="Arial" w:cs="Arial"/>
        </w:rPr>
        <w:t xml:space="preserve"> embrace</w:t>
      </w:r>
      <w:r w:rsidRPr="00EC1B14">
        <w:rPr>
          <w:rFonts w:ascii="Arial" w:hAnsi="Arial" w:cs="Arial"/>
        </w:rPr>
        <w:t xml:space="preserve"> sustainability could suffer from serious accusations such as greenwashing and even risk losing loyal customers. This means </w:t>
      </w:r>
      <w:r w:rsidR="00985947" w:rsidRPr="00EC1B14">
        <w:rPr>
          <w:rFonts w:ascii="Arial" w:hAnsi="Arial" w:cs="Arial"/>
        </w:rPr>
        <w:t>organisations</w:t>
      </w:r>
      <w:r w:rsidRPr="00EC1B14">
        <w:rPr>
          <w:rFonts w:ascii="Arial" w:hAnsi="Arial" w:cs="Arial"/>
        </w:rPr>
        <w:t xml:space="preserve"> need to remain honest in their intentions and be able to back up their claims with factual evidence, or their entire business could be at stake. Reputation risks include decreasing brand value, shifting public sentiment on a company’s role in climate action, stakeholder and investor shift in climate-related commitments and pledges, </w:t>
      </w:r>
      <w:r w:rsidR="00462ED9" w:rsidRPr="00EC1B14">
        <w:rPr>
          <w:rFonts w:ascii="Arial" w:hAnsi="Arial" w:cs="Arial"/>
        </w:rPr>
        <w:t>stigmatisation</w:t>
      </w:r>
      <w:r w:rsidRPr="00EC1B14">
        <w:rPr>
          <w:rFonts w:ascii="Arial" w:hAnsi="Arial" w:cs="Arial"/>
        </w:rPr>
        <w:t xml:space="preserve"> of high emissions sectors and changes in customer base. </w:t>
      </w:r>
    </w:p>
    <w:p w14:paraId="3E803DDB" w14:textId="11E568B0" w:rsidR="00E64C45" w:rsidRPr="00EC1B14" w:rsidRDefault="00E64C45" w:rsidP="00D25F24">
      <w:pPr>
        <w:pStyle w:val="Heading2"/>
        <w:spacing w:before="100" w:beforeAutospacing="1" w:after="100" w:afterAutospacing="1" w:line="240" w:lineRule="auto"/>
        <w:rPr>
          <w:rFonts w:ascii="Arial" w:hAnsi="Arial" w:cs="Arial"/>
          <w:b/>
          <w:bCs/>
          <w:color w:val="auto"/>
          <w:sz w:val="24"/>
          <w:szCs w:val="24"/>
        </w:rPr>
      </w:pPr>
      <w:bookmarkStart w:id="43" w:name="_Toc159248360"/>
      <w:bookmarkStart w:id="44" w:name="_Toc171907004"/>
      <w:r w:rsidRPr="00EC1B14">
        <w:rPr>
          <w:rFonts w:ascii="Arial" w:hAnsi="Arial" w:cs="Arial"/>
          <w:b/>
          <w:bCs/>
          <w:color w:val="auto"/>
          <w:sz w:val="24"/>
          <w:szCs w:val="24"/>
        </w:rPr>
        <w:t>Climate Transitional Risks</w:t>
      </w:r>
      <w:r w:rsidR="00733CA6" w:rsidRPr="00EC1B14">
        <w:rPr>
          <w:rFonts w:ascii="Arial" w:hAnsi="Arial" w:cs="Arial"/>
          <w:b/>
          <w:bCs/>
          <w:color w:val="auto"/>
          <w:sz w:val="24"/>
          <w:szCs w:val="24"/>
        </w:rPr>
        <w:t xml:space="preserve"> in Kenya</w:t>
      </w:r>
      <w:bookmarkEnd w:id="43"/>
      <w:bookmarkEnd w:id="44"/>
    </w:p>
    <w:p w14:paraId="059FF54A" w14:textId="3EBF185A" w:rsidR="00E64C45" w:rsidRPr="00EC1B14" w:rsidRDefault="00E64C45" w:rsidP="00D25F24">
      <w:pPr>
        <w:spacing w:before="100" w:beforeAutospacing="1" w:after="100" w:afterAutospacing="1" w:line="240" w:lineRule="auto"/>
        <w:jc w:val="both"/>
        <w:rPr>
          <w:rFonts w:ascii="Arial" w:hAnsi="Arial" w:cs="Arial"/>
        </w:rPr>
      </w:pPr>
      <w:r w:rsidRPr="00EC1B14">
        <w:rPr>
          <w:rFonts w:ascii="Arial" w:hAnsi="Arial" w:cs="Arial"/>
        </w:rPr>
        <w:t xml:space="preserve">As global climate patterns undergo unprecedented changes, Kenya finds itself at the forefront of both challenges and opportunities associated with </w:t>
      </w:r>
      <w:r w:rsidR="00462ED9" w:rsidRPr="00EC1B14">
        <w:rPr>
          <w:rFonts w:ascii="Arial" w:hAnsi="Arial" w:cs="Arial"/>
        </w:rPr>
        <w:t>transitioning</w:t>
      </w:r>
      <w:r w:rsidRPr="00EC1B14">
        <w:rPr>
          <w:rFonts w:ascii="Arial" w:hAnsi="Arial" w:cs="Arial"/>
        </w:rPr>
        <w:t xml:space="preserve"> to a more sustainable and climate-resilient future. Recognising that the Kenyan economy is inextricably linked to various sectors vulnerable to climate impacts, understanding and addressing transitional risks becomes paramount.</w:t>
      </w:r>
    </w:p>
    <w:p w14:paraId="160AFAE6" w14:textId="1E5F44E0" w:rsidR="00D139BC" w:rsidRPr="00EC1B14" w:rsidRDefault="00462ED9" w:rsidP="00B27ABF">
      <w:pPr>
        <w:spacing w:before="100" w:beforeAutospacing="1" w:after="100" w:afterAutospacing="1" w:line="240" w:lineRule="auto"/>
        <w:jc w:val="both"/>
        <w:rPr>
          <w:rFonts w:ascii="Arial" w:hAnsi="Arial" w:cs="Arial"/>
        </w:rPr>
      </w:pPr>
      <w:r w:rsidRPr="00EC1B14">
        <w:rPr>
          <w:rFonts w:ascii="Arial" w:hAnsi="Arial" w:cs="Arial"/>
        </w:rPr>
        <w:t>Identifying</w:t>
      </w:r>
      <w:r w:rsidR="00E64C45" w:rsidRPr="00EC1B14">
        <w:rPr>
          <w:rFonts w:ascii="Arial" w:hAnsi="Arial" w:cs="Arial"/>
        </w:rPr>
        <w:t xml:space="preserve"> climate transitional risks is </w:t>
      </w:r>
      <w:r w:rsidRPr="00EC1B14">
        <w:rPr>
          <w:rFonts w:ascii="Arial" w:hAnsi="Arial" w:cs="Arial"/>
        </w:rPr>
        <w:t xml:space="preserve">crucial </w:t>
      </w:r>
      <w:r w:rsidR="00E64C45" w:rsidRPr="00EC1B14">
        <w:rPr>
          <w:rFonts w:ascii="Arial" w:hAnsi="Arial" w:cs="Arial"/>
        </w:rPr>
        <w:t xml:space="preserve">in proactively managing the evolving landscape of economic activities, regulations, and societal expectations. </w:t>
      </w:r>
      <w:r w:rsidRPr="00EC1B14">
        <w:rPr>
          <w:rFonts w:ascii="Arial" w:hAnsi="Arial" w:cs="Arial"/>
        </w:rPr>
        <w:t xml:space="preserve">As a signatory to international agreements like the 2015 Paris Agreement, Kenya </w:t>
      </w:r>
      <w:r w:rsidR="00E64C45" w:rsidRPr="00EC1B14">
        <w:rPr>
          <w:rFonts w:ascii="Arial" w:hAnsi="Arial" w:cs="Arial"/>
        </w:rPr>
        <w:t xml:space="preserve">acknowledges the need for a low-carbon, climate-resilient trajectory. This section </w:t>
      </w:r>
      <w:r w:rsidR="00B27ABF" w:rsidRPr="00EC1B14">
        <w:rPr>
          <w:rFonts w:ascii="Arial" w:hAnsi="Arial" w:cs="Arial"/>
        </w:rPr>
        <w:t>explores</w:t>
      </w:r>
      <w:r w:rsidR="00E64C45" w:rsidRPr="00EC1B14">
        <w:rPr>
          <w:rFonts w:ascii="Arial" w:hAnsi="Arial" w:cs="Arial"/>
        </w:rPr>
        <w:t xml:space="preserve"> </w:t>
      </w:r>
      <w:r w:rsidR="00D139BC" w:rsidRPr="00EC1B14">
        <w:rPr>
          <w:rFonts w:ascii="Arial" w:hAnsi="Arial" w:cs="Arial"/>
        </w:rPr>
        <w:t xml:space="preserve">climate </w:t>
      </w:r>
      <w:r w:rsidR="00EC1B14" w:rsidRPr="00EC1B14">
        <w:rPr>
          <w:rFonts w:ascii="Arial" w:hAnsi="Arial" w:cs="Arial"/>
        </w:rPr>
        <w:t>transition in</w:t>
      </w:r>
      <w:r w:rsidR="00D139BC" w:rsidRPr="00EC1B14">
        <w:rPr>
          <w:rFonts w:ascii="Arial" w:hAnsi="Arial" w:cs="Arial"/>
        </w:rPr>
        <w:t xml:space="preserve"> </w:t>
      </w:r>
      <w:r w:rsidR="00E64C45" w:rsidRPr="00EC1B14">
        <w:rPr>
          <w:rFonts w:ascii="Arial" w:hAnsi="Arial" w:cs="Arial"/>
        </w:rPr>
        <w:t xml:space="preserve">Kenya, </w:t>
      </w:r>
      <w:r w:rsidR="00D139BC" w:rsidRPr="00EC1B14">
        <w:rPr>
          <w:rFonts w:ascii="Arial" w:hAnsi="Arial" w:cs="Arial"/>
        </w:rPr>
        <w:t>focusing on</w:t>
      </w:r>
      <w:r w:rsidR="00E64C45" w:rsidRPr="00EC1B14">
        <w:rPr>
          <w:rFonts w:ascii="Arial" w:hAnsi="Arial" w:cs="Arial"/>
        </w:rPr>
        <w:t xml:space="preserve"> the challenges and opportunities</w:t>
      </w:r>
      <w:r w:rsidR="00B27ABF" w:rsidRPr="00EC1B14">
        <w:rPr>
          <w:rFonts w:ascii="Arial" w:hAnsi="Arial" w:cs="Arial"/>
        </w:rPr>
        <w:t xml:space="preserve"> of moving</w:t>
      </w:r>
      <w:r w:rsidR="00E64C45" w:rsidRPr="00EC1B14">
        <w:rPr>
          <w:rFonts w:ascii="Arial" w:hAnsi="Arial" w:cs="Arial"/>
        </w:rPr>
        <w:t xml:space="preserve"> toward</w:t>
      </w:r>
      <w:r w:rsidR="00B27ABF" w:rsidRPr="00EC1B14">
        <w:rPr>
          <w:rFonts w:ascii="Arial" w:hAnsi="Arial" w:cs="Arial"/>
        </w:rPr>
        <w:t>s</w:t>
      </w:r>
      <w:r w:rsidR="00E64C45" w:rsidRPr="00EC1B14">
        <w:rPr>
          <w:rFonts w:ascii="Arial" w:hAnsi="Arial" w:cs="Arial"/>
        </w:rPr>
        <w:t xml:space="preserve"> a sustainable, low-carbon economy.</w:t>
      </w:r>
      <w:r w:rsidR="00B27ABF" w:rsidRPr="00EC1B14" w:rsidDel="00B27ABF">
        <w:rPr>
          <w:rFonts w:ascii="Arial" w:hAnsi="Arial" w:cs="Arial"/>
        </w:rPr>
        <w:t xml:space="preserve"> </w:t>
      </w:r>
      <w:r w:rsidR="00E64C45" w:rsidRPr="00EC1B14">
        <w:rPr>
          <w:rFonts w:ascii="Arial" w:hAnsi="Arial" w:cs="Arial"/>
        </w:rPr>
        <w:t xml:space="preserve">. </w:t>
      </w:r>
    </w:p>
    <w:p w14:paraId="490AF065" w14:textId="57A2A7C4" w:rsidR="00E64C45" w:rsidRPr="00EC1B14" w:rsidRDefault="00E64C45" w:rsidP="00D25F24">
      <w:pPr>
        <w:spacing w:before="100" w:beforeAutospacing="1" w:after="100" w:afterAutospacing="1" w:line="240" w:lineRule="auto"/>
        <w:jc w:val="both"/>
        <w:rPr>
          <w:rFonts w:ascii="Arial" w:hAnsi="Arial" w:cs="Arial"/>
        </w:rPr>
      </w:pPr>
      <w:r w:rsidRPr="00EC1B14">
        <w:rPr>
          <w:rFonts w:ascii="Arial" w:hAnsi="Arial" w:cs="Arial"/>
        </w:rPr>
        <w:t>As the global community intensifies efforts to address climate change, the financial landscape is evolving, driven by regulatory changes, market dynamics, and shifts in stakeholder expectations. Identifying and understanding transitional risks is crucial for Kenyan industries to navigate this changing terrain effectively.</w:t>
      </w:r>
    </w:p>
    <w:p w14:paraId="43B529E8" w14:textId="77777777" w:rsidR="00E64C45" w:rsidRPr="00EC1B14" w:rsidRDefault="00E64C45" w:rsidP="00D25F24">
      <w:pPr>
        <w:spacing w:before="100" w:beforeAutospacing="1" w:after="100" w:afterAutospacing="1" w:line="240" w:lineRule="auto"/>
        <w:jc w:val="both"/>
        <w:rPr>
          <w:rFonts w:ascii="Arial" w:hAnsi="Arial" w:cs="Arial"/>
        </w:rPr>
      </w:pPr>
      <w:r w:rsidRPr="00EC1B14">
        <w:rPr>
          <w:rFonts w:ascii="Arial" w:hAnsi="Arial" w:cs="Arial"/>
        </w:rPr>
        <w:t>Transitional risks stem from the adjustments required to align with environmental sustainability goals. These risks span regulatory, market, technological, and societal dimensions, impacting industries differently based on their practices and dependencies. In Kenya, where economic sectors vary widely, recognising and addressing these transitional risks becomes imperative for strategic planning and resilience.</w:t>
      </w:r>
    </w:p>
    <w:p w14:paraId="1815939B" w14:textId="39B25144" w:rsidR="00E64C45" w:rsidRPr="00EC1B14" w:rsidRDefault="00E64C45" w:rsidP="00D25F24">
      <w:pPr>
        <w:spacing w:before="100" w:beforeAutospacing="1" w:after="100" w:afterAutospacing="1" w:line="240" w:lineRule="auto"/>
        <w:jc w:val="both"/>
        <w:rPr>
          <w:rFonts w:ascii="Arial" w:hAnsi="Arial" w:cs="Arial"/>
        </w:rPr>
      </w:pPr>
      <w:r w:rsidRPr="00EC1B14">
        <w:rPr>
          <w:rFonts w:ascii="Arial" w:hAnsi="Arial" w:cs="Arial"/>
        </w:rPr>
        <w:t xml:space="preserve">The table below </w:t>
      </w:r>
      <w:r w:rsidR="00462ED9" w:rsidRPr="00EC1B14">
        <w:rPr>
          <w:rFonts w:ascii="Arial" w:hAnsi="Arial" w:cs="Arial"/>
        </w:rPr>
        <w:t>analyses</w:t>
      </w:r>
      <w:r w:rsidRPr="00EC1B14">
        <w:rPr>
          <w:rFonts w:ascii="Arial" w:hAnsi="Arial" w:cs="Arial"/>
        </w:rPr>
        <w:t xml:space="preserve"> transition risk drivers, practical examples and impacts of transitional risks on specific industry sectors in Kenya. It provides a more granular understanding of how different industries </w:t>
      </w:r>
      <w:r w:rsidR="00462ED9" w:rsidRPr="00EC1B14">
        <w:rPr>
          <w:rFonts w:ascii="Arial" w:hAnsi="Arial" w:cs="Arial"/>
        </w:rPr>
        <w:t>will likely</w:t>
      </w:r>
      <w:r w:rsidRPr="00EC1B14">
        <w:rPr>
          <w:rFonts w:ascii="Arial" w:hAnsi="Arial" w:cs="Arial"/>
        </w:rPr>
        <w:t xml:space="preserve"> be affected, allowing businesses to tailor their strategies accordingly.</w:t>
      </w:r>
    </w:p>
    <w:p w14:paraId="29C5EFE6" w14:textId="78C2DF01" w:rsidR="00545780" w:rsidRPr="00EC1B14" w:rsidRDefault="00545780" w:rsidP="00D25F24">
      <w:pPr>
        <w:pStyle w:val="Caption"/>
        <w:spacing w:before="120" w:afterLines="120" w:after="288"/>
        <w:rPr>
          <w:rFonts w:ascii="Arial" w:hAnsi="Arial" w:cs="Arial"/>
          <w:b/>
          <w:bCs/>
          <w:i w:val="0"/>
          <w:color w:val="auto"/>
          <w:sz w:val="20"/>
        </w:rPr>
      </w:pPr>
      <w:bookmarkStart w:id="45" w:name="_Toc157522251"/>
      <w:bookmarkStart w:id="46" w:name="_Toc171907020"/>
      <w:r w:rsidRPr="00EC1B14">
        <w:rPr>
          <w:rFonts w:ascii="Arial" w:hAnsi="Arial" w:cs="Arial"/>
          <w:b/>
          <w:bCs/>
          <w:i w:val="0"/>
          <w:color w:val="auto"/>
          <w:sz w:val="20"/>
        </w:rPr>
        <w:t xml:space="preserve">Table </w:t>
      </w:r>
      <w:r w:rsidRPr="00EC1B14">
        <w:rPr>
          <w:rFonts w:ascii="Arial" w:hAnsi="Arial" w:cs="Arial"/>
          <w:b/>
          <w:bCs/>
          <w:i w:val="0"/>
          <w:color w:val="auto"/>
          <w:sz w:val="20"/>
        </w:rPr>
        <w:fldChar w:fldCharType="begin"/>
      </w:r>
      <w:r w:rsidRPr="00EC1B14">
        <w:rPr>
          <w:rFonts w:ascii="Arial" w:hAnsi="Arial" w:cs="Arial"/>
          <w:b/>
          <w:bCs/>
          <w:i w:val="0"/>
          <w:color w:val="auto"/>
          <w:sz w:val="20"/>
        </w:rPr>
        <w:instrText xml:space="preserve"> SEQ Table \* ARABIC </w:instrText>
      </w:r>
      <w:r w:rsidRPr="00EC1B14">
        <w:rPr>
          <w:rFonts w:ascii="Arial" w:hAnsi="Arial" w:cs="Arial"/>
          <w:b/>
          <w:bCs/>
          <w:i w:val="0"/>
          <w:color w:val="auto"/>
          <w:sz w:val="20"/>
        </w:rPr>
        <w:fldChar w:fldCharType="separate"/>
      </w:r>
      <w:r w:rsidR="00FD6222">
        <w:rPr>
          <w:rFonts w:ascii="Arial" w:hAnsi="Arial" w:cs="Arial"/>
          <w:b/>
          <w:bCs/>
          <w:i w:val="0"/>
          <w:noProof/>
          <w:color w:val="auto"/>
          <w:sz w:val="20"/>
        </w:rPr>
        <w:t>6</w:t>
      </w:r>
      <w:r w:rsidRPr="00EC1B14">
        <w:rPr>
          <w:rFonts w:ascii="Arial" w:hAnsi="Arial" w:cs="Arial"/>
          <w:b/>
          <w:bCs/>
          <w:i w:val="0"/>
          <w:color w:val="auto"/>
          <w:sz w:val="20"/>
        </w:rPr>
        <w:fldChar w:fldCharType="end"/>
      </w:r>
      <w:r w:rsidRPr="00EC1B14">
        <w:rPr>
          <w:rFonts w:ascii="Arial" w:hAnsi="Arial" w:cs="Arial"/>
          <w:b/>
          <w:bCs/>
          <w:i w:val="0"/>
          <w:color w:val="auto"/>
          <w:sz w:val="20"/>
        </w:rPr>
        <w:t>: Transition risk drivers</w:t>
      </w:r>
      <w:bookmarkEnd w:id="45"/>
      <w:bookmarkEnd w:id="46"/>
    </w:p>
    <w:tbl>
      <w:tblPr>
        <w:tblStyle w:val="TableGrid"/>
        <w:tblW w:w="9067" w:type="dxa"/>
        <w:tblLayout w:type="fixed"/>
        <w:tblLook w:val="04A0" w:firstRow="1" w:lastRow="0" w:firstColumn="1" w:lastColumn="0" w:noHBand="0" w:noVBand="1"/>
      </w:tblPr>
      <w:tblGrid>
        <w:gridCol w:w="1830"/>
        <w:gridCol w:w="3410"/>
        <w:gridCol w:w="3827"/>
      </w:tblGrid>
      <w:tr w:rsidR="007E1EE6" w:rsidRPr="00EC1B14" w14:paraId="7F3EE92F" w14:textId="77777777" w:rsidTr="00B02ECB">
        <w:trPr>
          <w:trHeight w:val="20"/>
          <w:tblHeader/>
        </w:trPr>
        <w:tc>
          <w:tcPr>
            <w:tcW w:w="1830" w:type="dxa"/>
            <w:shd w:val="clear" w:color="auto" w:fill="BFBFBF" w:themeFill="background1" w:themeFillShade="BF"/>
            <w:hideMark/>
          </w:tcPr>
          <w:p w14:paraId="0ECC717C" w14:textId="77777777" w:rsidR="00E64C45" w:rsidRPr="00EC1B14" w:rsidRDefault="00E64C45" w:rsidP="00D25F24">
            <w:pPr>
              <w:spacing w:before="100" w:beforeAutospacing="1"/>
              <w:jc w:val="center"/>
              <w:rPr>
                <w:rFonts w:ascii="Arial" w:hAnsi="Arial" w:cs="Arial"/>
                <w:b/>
                <w:bCs/>
                <w:sz w:val="20"/>
                <w:szCs w:val="20"/>
              </w:rPr>
            </w:pPr>
            <w:r w:rsidRPr="00EC1B14">
              <w:rPr>
                <w:rFonts w:ascii="Arial" w:hAnsi="Arial" w:cs="Arial"/>
                <w:b/>
                <w:bCs/>
                <w:sz w:val="20"/>
                <w:szCs w:val="20"/>
              </w:rPr>
              <w:t>Risk Drivers</w:t>
            </w:r>
          </w:p>
        </w:tc>
        <w:tc>
          <w:tcPr>
            <w:tcW w:w="3410" w:type="dxa"/>
            <w:shd w:val="clear" w:color="auto" w:fill="BFBFBF" w:themeFill="background1" w:themeFillShade="BF"/>
            <w:hideMark/>
          </w:tcPr>
          <w:p w14:paraId="542A6329" w14:textId="77777777" w:rsidR="00E64C45" w:rsidRPr="00EC1B14" w:rsidRDefault="00E64C45" w:rsidP="00D25F24">
            <w:pPr>
              <w:spacing w:before="100" w:beforeAutospacing="1"/>
              <w:jc w:val="center"/>
              <w:rPr>
                <w:rFonts w:ascii="Arial" w:hAnsi="Arial" w:cs="Arial"/>
                <w:b/>
                <w:bCs/>
                <w:sz w:val="20"/>
                <w:szCs w:val="20"/>
              </w:rPr>
            </w:pPr>
            <w:r w:rsidRPr="00EC1B14">
              <w:rPr>
                <w:rFonts w:ascii="Arial" w:hAnsi="Arial" w:cs="Arial"/>
                <w:b/>
                <w:bCs/>
                <w:sz w:val="20"/>
                <w:szCs w:val="20"/>
              </w:rPr>
              <w:t>Practical Examples</w:t>
            </w:r>
          </w:p>
        </w:tc>
        <w:tc>
          <w:tcPr>
            <w:tcW w:w="3827" w:type="dxa"/>
            <w:shd w:val="clear" w:color="auto" w:fill="BFBFBF" w:themeFill="background1" w:themeFillShade="BF"/>
            <w:hideMark/>
          </w:tcPr>
          <w:p w14:paraId="792AEFD0" w14:textId="77777777" w:rsidR="00E64C45" w:rsidRPr="00EC1B14" w:rsidRDefault="00E64C45" w:rsidP="00D25F24">
            <w:pPr>
              <w:spacing w:before="100" w:beforeAutospacing="1"/>
              <w:ind w:left="95" w:right="81"/>
              <w:jc w:val="center"/>
              <w:rPr>
                <w:rFonts w:ascii="Arial" w:hAnsi="Arial" w:cs="Arial"/>
                <w:b/>
                <w:bCs/>
                <w:sz w:val="20"/>
                <w:szCs w:val="20"/>
              </w:rPr>
            </w:pPr>
            <w:r w:rsidRPr="00EC1B14">
              <w:rPr>
                <w:rFonts w:ascii="Arial" w:hAnsi="Arial" w:cs="Arial"/>
                <w:b/>
                <w:bCs/>
                <w:sz w:val="20"/>
                <w:szCs w:val="20"/>
              </w:rPr>
              <w:t>Impacts on Industries</w:t>
            </w:r>
          </w:p>
        </w:tc>
      </w:tr>
      <w:tr w:rsidR="007E1EE6" w:rsidRPr="00EC1B14" w14:paraId="38F9DEF5" w14:textId="77777777" w:rsidTr="00B02ECB">
        <w:trPr>
          <w:trHeight w:val="2637"/>
        </w:trPr>
        <w:tc>
          <w:tcPr>
            <w:tcW w:w="1830" w:type="dxa"/>
            <w:hideMark/>
          </w:tcPr>
          <w:p w14:paraId="2B849C33" w14:textId="77777777" w:rsidR="00E64C45" w:rsidRPr="00EC1B14" w:rsidRDefault="00E64C45" w:rsidP="00D25F24">
            <w:pPr>
              <w:spacing w:before="100" w:beforeAutospacing="1"/>
              <w:rPr>
                <w:rFonts w:ascii="Arial" w:hAnsi="Arial" w:cs="Arial"/>
                <w:sz w:val="20"/>
                <w:szCs w:val="20"/>
              </w:rPr>
            </w:pPr>
            <w:r w:rsidRPr="00EC1B14">
              <w:rPr>
                <w:rFonts w:ascii="Arial" w:hAnsi="Arial" w:cs="Arial"/>
                <w:sz w:val="20"/>
                <w:szCs w:val="20"/>
              </w:rPr>
              <w:t>Regulatory Changes</w:t>
            </w:r>
          </w:p>
        </w:tc>
        <w:tc>
          <w:tcPr>
            <w:tcW w:w="3410" w:type="dxa"/>
            <w:hideMark/>
          </w:tcPr>
          <w:p w14:paraId="19690834" w14:textId="77777777" w:rsidR="00E64C45" w:rsidRPr="00EC1B14" w:rsidRDefault="00E64C45" w:rsidP="00D25F24">
            <w:pPr>
              <w:pStyle w:val="ListParagraph"/>
              <w:numPr>
                <w:ilvl w:val="0"/>
                <w:numId w:val="1"/>
              </w:numPr>
              <w:spacing w:before="100" w:beforeAutospacing="1"/>
              <w:ind w:left="327" w:right="28" w:hanging="284"/>
              <w:rPr>
                <w:rFonts w:ascii="Arial" w:hAnsi="Arial" w:cs="Arial"/>
                <w:sz w:val="20"/>
                <w:szCs w:val="20"/>
              </w:rPr>
            </w:pPr>
            <w:r w:rsidRPr="00EC1B14">
              <w:rPr>
                <w:rFonts w:ascii="Arial" w:hAnsi="Arial" w:cs="Arial"/>
                <w:sz w:val="20"/>
                <w:szCs w:val="20"/>
              </w:rPr>
              <w:t>Introduction of carbon pricing mechanisms affecting industries dependent on fossil fuels</w:t>
            </w:r>
          </w:p>
          <w:p w14:paraId="3CC22F8F" w14:textId="77777777" w:rsidR="00392863" w:rsidRPr="00EC1B14" w:rsidRDefault="00392863" w:rsidP="00D25F24">
            <w:pPr>
              <w:pStyle w:val="ListParagraph"/>
              <w:spacing w:before="100" w:beforeAutospacing="1"/>
              <w:ind w:left="327" w:right="28"/>
              <w:rPr>
                <w:rFonts w:ascii="Arial" w:hAnsi="Arial" w:cs="Arial"/>
                <w:sz w:val="20"/>
                <w:szCs w:val="20"/>
              </w:rPr>
            </w:pPr>
          </w:p>
          <w:p w14:paraId="6D6C64CA" w14:textId="77777777" w:rsidR="00E64C45" w:rsidRPr="00EC1B14" w:rsidRDefault="00E64C45" w:rsidP="00D25F24">
            <w:pPr>
              <w:pStyle w:val="ListParagraph"/>
              <w:numPr>
                <w:ilvl w:val="0"/>
                <w:numId w:val="1"/>
              </w:numPr>
              <w:spacing w:before="100" w:beforeAutospacing="1"/>
              <w:ind w:left="327" w:right="28" w:hanging="284"/>
              <w:rPr>
                <w:rFonts w:ascii="Arial" w:hAnsi="Arial" w:cs="Arial"/>
                <w:sz w:val="20"/>
                <w:szCs w:val="20"/>
              </w:rPr>
            </w:pPr>
            <w:r w:rsidRPr="00EC1B14">
              <w:rPr>
                <w:rFonts w:ascii="Arial" w:hAnsi="Arial" w:cs="Arial"/>
                <w:sz w:val="20"/>
                <w:szCs w:val="20"/>
              </w:rPr>
              <w:t>Implementation of renewable energy targets impacting energy-intensive sectors.</w:t>
            </w:r>
          </w:p>
        </w:tc>
        <w:tc>
          <w:tcPr>
            <w:tcW w:w="3827" w:type="dxa"/>
            <w:hideMark/>
          </w:tcPr>
          <w:p w14:paraId="72639889" w14:textId="2B46E444"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Energy</w:t>
            </w:r>
            <w:r w:rsidRPr="00EC1B14">
              <w:rPr>
                <w:rFonts w:ascii="Arial" w:hAnsi="Arial" w:cs="Arial"/>
                <w:sz w:val="20"/>
                <w:szCs w:val="20"/>
              </w:rPr>
              <w:t>: Transition away from fossil fuels</w:t>
            </w:r>
          </w:p>
          <w:p w14:paraId="71DFA30C"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Agriculture</w:t>
            </w:r>
            <w:r w:rsidRPr="00EC1B14">
              <w:rPr>
                <w:rFonts w:ascii="Arial" w:hAnsi="Arial" w:cs="Arial"/>
                <w:sz w:val="20"/>
                <w:szCs w:val="20"/>
              </w:rPr>
              <w:t xml:space="preserve">: Fossil fuel transition and higher manufacturing costs and costs for renewable alternatives </w:t>
            </w:r>
          </w:p>
          <w:p w14:paraId="2B7EF720" w14:textId="0602D66F"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Tourism Operators</w:t>
            </w:r>
            <w:r w:rsidRPr="00EC1B14">
              <w:rPr>
                <w:rFonts w:ascii="Arial" w:hAnsi="Arial" w:cs="Arial"/>
                <w:sz w:val="20"/>
                <w:szCs w:val="20"/>
              </w:rPr>
              <w:t>: Increased operational costs for transportation and accommodations</w:t>
            </w:r>
            <w:r w:rsidR="00462ED9" w:rsidRPr="00EC1B14">
              <w:rPr>
                <w:rFonts w:ascii="Arial" w:hAnsi="Arial" w:cs="Arial"/>
                <w:sz w:val="20"/>
                <w:szCs w:val="20"/>
              </w:rPr>
              <w:t>,</w:t>
            </w:r>
            <w:r w:rsidRPr="00EC1B14">
              <w:rPr>
                <w:rFonts w:ascii="Arial" w:hAnsi="Arial" w:cs="Arial"/>
                <w:sz w:val="20"/>
                <w:szCs w:val="20"/>
              </w:rPr>
              <w:t xml:space="preserve"> leading to potential price hikes for tourists.</w:t>
            </w:r>
          </w:p>
          <w:p w14:paraId="40DB5287"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Manufacturing</w:t>
            </w:r>
            <w:r w:rsidRPr="00EC1B14">
              <w:rPr>
                <w:rFonts w:ascii="Arial" w:hAnsi="Arial" w:cs="Arial"/>
                <w:sz w:val="20"/>
                <w:szCs w:val="20"/>
              </w:rPr>
              <w:t>: Higher compliance costs</w:t>
            </w:r>
          </w:p>
        </w:tc>
      </w:tr>
      <w:tr w:rsidR="007E1EE6" w:rsidRPr="00EC1B14" w14:paraId="1046E0DF" w14:textId="77777777" w:rsidTr="00B02ECB">
        <w:trPr>
          <w:trHeight w:val="20"/>
        </w:trPr>
        <w:tc>
          <w:tcPr>
            <w:tcW w:w="1830" w:type="dxa"/>
            <w:hideMark/>
          </w:tcPr>
          <w:p w14:paraId="64EB35A4" w14:textId="77777777" w:rsidR="00E64C45" w:rsidRPr="00EC1B14" w:rsidRDefault="00E64C45" w:rsidP="00D25F24">
            <w:pPr>
              <w:spacing w:before="100" w:beforeAutospacing="1"/>
              <w:rPr>
                <w:rFonts w:ascii="Arial" w:hAnsi="Arial" w:cs="Arial"/>
                <w:sz w:val="20"/>
                <w:szCs w:val="20"/>
              </w:rPr>
            </w:pPr>
            <w:r w:rsidRPr="00EC1B14">
              <w:rPr>
                <w:rFonts w:ascii="Arial" w:hAnsi="Arial" w:cs="Arial"/>
                <w:sz w:val="20"/>
                <w:szCs w:val="20"/>
              </w:rPr>
              <w:t>Market Dynamics</w:t>
            </w:r>
          </w:p>
        </w:tc>
        <w:tc>
          <w:tcPr>
            <w:tcW w:w="3410" w:type="dxa"/>
            <w:hideMark/>
          </w:tcPr>
          <w:p w14:paraId="2E75D036" w14:textId="77777777" w:rsidR="00E64C45" w:rsidRPr="00EC1B14" w:rsidRDefault="00E64C45" w:rsidP="00D25F24">
            <w:pPr>
              <w:pStyle w:val="ListParagraph"/>
              <w:numPr>
                <w:ilvl w:val="0"/>
                <w:numId w:val="2"/>
              </w:numPr>
              <w:spacing w:before="100" w:beforeAutospacing="1"/>
              <w:ind w:left="327" w:right="28" w:hanging="284"/>
              <w:rPr>
                <w:rFonts w:ascii="Arial" w:hAnsi="Arial" w:cs="Arial"/>
                <w:sz w:val="20"/>
                <w:szCs w:val="20"/>
              </w:rPr>
            </w:pPr>
            <w:r w:rsidRPr="00EC1B14">
              <w:rPr>
                <w:rFonts w:ascii="Arial" w:hAnsi="Arial" w:cs="Arial"/>
                <w:sz w:val="20"/>
                <w:szCs w:val="20"/>
              </w:rPr>
              <w:t>Shift in consumer preferences towards sustainable products, affecting industries not aligned with sustainable practices.</w:t>
            </w:r>
          </w:p>
          <w:p w14:paraId="78C17637" w14:textId="77777777" w:rsidR="00E64C45" w:rsidRPr="00EC1B14" w:rsidRDefault="00E64C45" w:rsidP="00D25F24">
            <w:pPr>
              <w:pStyle w:val="ListParagraph"/>
              <w:numPr>
                <w:ilvl w:val="0"/>
                <w:numId w:val="2"/>
              </w:numPr>
              <w:spacing w:before="100" w:beforeAutospacing="1"/>
              <w:ind w:left="327" w:right="28" w:hanging="284"/>
              <w:rPr>
                <w:rFonts w:ascii="Arial" w:hAnsi="Arial" w:cs="Arial"/>
                <w:sz w:val="20"/>
                <w:szCs w:val="20"/>
              </w:rPr>
            </w:pPr>
            <w:r w:rsidRPr="00EC1B14">
              <w:rPr>
                <w:rFonts w:ascii="Arial" w:hAnsi="Arial" w:cs="Arial"/>
                <w:sz w:val="20"/>
                <w:szCs w:val="20"/>
              </w:rPr>
              <w:t>Emergence of sustainable finance trends influencing investment decisions.</w:t>
            </w:r>
          </w:p>
        </w:tc>
        <w:tc>
          <w:tcPr>
            <w:tcW w:w="3827" w:type="dxa"/>
            <w:hideMark/>
          </w:tcPr>
          <w:p w14:paraId="30E10A93" w14:textId="2430FCEA" w:rsidR="00E64C45" w:rsidRPr="00EC1B14" w:rsidRDefault="00E64C45" w:rsidP="00D25F24">
            <w:pPr>
              <w:pStyle w:val="ListParagraph"/>
              <w:numPr>
                <w:ilvl w:val="0"/>
                <w:numId w:val="1"/>
              </w:numPr>
              <w:spacing w:before="100" w:beforeAutospacing="1"/>
              <w:ind w:left="327" w:right="31" w:hanging="284"/>
              <w:rPr>
                <w:rFonts w:ascii="Arial" w:hAnsi="Arial" w:cs="Arial"/>
                <w:b/>
                <w:bCs/>
                <w:sz w:val="20"/>
                <w:szCs w:val="20"/>
              </w:rPr>
            </w:pPr>
            <w:r w:rsidRPr="00EC1B14">
              <w:rPr>
                <w:rFonts w:ascii="Arial" w:hAnsi="Arial" w:cs="Arial"/>
                <w:b/>
                <w:bCs/>
                <w:sz w:val="20"/>
                <w:szCs w:val="20"/>
              </w:rPr>
              <w:t xml:space="preserve">Retail: </w:t>
            </w:r>
            <w:r w:rsidRPr="00EC1B14">
              <w:rPr>
                <w:rFonts w:ascii="Arial" w:hAnsi="Arial" w:cs="Arial"/>
                <w:sz w:val="20"/>
                <w:szCs w:val="20"/>
              </w:rPr>
              <w:t>Consumer demand for eco-friendly products</w:t>
            </w:r>
          </w:p>
          <w:p w14:paraId="445F8723"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b/>
                <w:bCs/>
                <w:sz w:val="20"/>
                <w:szCs w:val="20"/>
              </w:rPr>
            </w:pPr>
            <w:r w:rsidRPr="00EC1B14">
              <w:rPr>
                <w:rFonts w:ascii="Arial" w:hAnsi="Arial" w:cs="Arial"/>
                <w:b/>
                <w:bCs/>
                <w:sz w:val="20"/>
                <w:szCs w:val="20"/>
              </w:rPr>
              <w:t xml:space="preserve">Consumer Goods: </w:t>
            </w:r>
            <w:r w:rsidRPr="00EC1B14">
              <w:rPr>
                <w:rFonts w:ascii="Arial" w:hAnsi="Arial" w:cs="Arial"/>
                <w:sz w:val="20"/>
                <w:szCs w:val="20"/>
              </w:rPr>
              <w:t>Financing based on sustainability (ESG) performance indicators.</w:t>
            </w:r>
          </w:p>
          <w:p w14:paraId="1FD02C79"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 xml:space="preserve">Tourism Products: </w:t>
            </w:r>
            <w:r w:rsidRPr="00EC1B14">
              <w:rPr>
                <w:rFonts w:ascii="Arial" w:hAnsi="Arial" w:cs="Arial"/>
                <w:sz w:val="20"/>
                <w:szCs w:val="20"/>
              </w:rPr>
              <w:t>Decreased demand for activities or services perceived as environmentally unfriendly.</w:t>
            </w:r>
          </w:p>
        </w:tc>
      </w:tr>
      <w:tr w:rsidR="007E1EE6" w:rsidRPr="00EC1B14" w14:paraId="49EE5DCA" w14:textId="77777777" w:rsidTr="00B02ECB">
        <w:trPr>
          <w:trHeight w:val="20"/>
        </w:trPr>
        <w:tc>
          <w:tcPr>
            <w:tcW w:w="1830" w:type="dxa"/>
            <w:hideMark/>
          </w:tcPr>
          <w:p w14:paraId="0A2D865C" w14:textId="77777777" w:rsidR="00E64C45" w:rsidRPr="00EC1B14" w:rsidRDefault="00E64C45" w:rsidP="00D25F24">
            <w:pPr>
              <w:spacing w:before="100" w:beforeAutospacing="1"/>
              <w:rPr>
                <w:rFonts w:ascii="Arial" w:hAnsi="Arial" w:cs="Arial"/>
                <w:sz w:val="20"/>
                <w:szCs w:val="20"/>
              </w:rPr>
            </w:pPr>
            <w:r w:rsidRPr="00EC1B14">
              <w:rPr>
                <w:rFonts w:ascii="Arial" w:hAnsi="Arial" w:cs="Arial"/>
                <w:sz w:val="20"/>
                <w:szCs w:val="20"/>
              </w:rPr>
              <w:t>Technological Advancements</w:t>
            </w:r>
          </w:p>
        </w:tc>
        <w:tc>
          <w:tcPr>
            <w:tcW w:w="3410" w:type="dxa"/>
            <w:hideMark/>
          </w:tcPr>
          <w:p w14:paraId="0F882582" w14:textId="77777777" w:rsidR="00E64C45" w:rsidRPr="00EC1B14" w:rsidRDefault="00E64C45" w:rsidP="00D25F24">
            <w:pPr>
              <w:pStyle w:val="ListParagraph"/>
              <w:numPr>
                <w:ilvl w:val="0"/>
                <w:numId w:val="3"/>
              </w:numPr>
              <w:spacing w:before="100" w:beforeAutospacing="1"/>
              <w:ind w:left="327" w:right="28" w:hanging="284"/>
              <w:rPr>
                <w:rFonts w:ascii="Arial" w:hAnsi="Arial" w:cs="Arial"/>
                <w:sz w:val="20"/>
                <w:szCs w:val="20"/>
              </w:rPr>
            </w:pPr>
            <w:r w:rsidRPr="00EC1B14">
              <w:rPr>
                <w:rFonts w:ascii="Arial" w:hAnsi="Arial" w:cs="Arial"/>
                <w:sz w:val="20"/>
                <w:szCs w:val="20"/>
              </w:rPr>
              <w:t>Adoption of clean and sustainable technologies in the energy sector, impacting traditional energy sources.</w:t>
            </w:r>
          </w:p>
          <w:p w14:paraId="75139489" w14:textId="77777777" w:rsidR="00E64C45" w:rsidRPr="00EC1B14" w:rsidRDefault="00E64C45" w:rsidP="00D25F24">
            <w:pPr>
              <w:pStyle w:val="ListParagraph"/>
              <w:numPr>
                <w:ilvl w:val="0"/>
                <w:numId w:val="3"/>
              </w:numPr>
              <w:spacing w:before="100" w:beforeAutospacing="1"/>
              <w:ind w:left="327" w:right="28" w:hanging="284"/>
              <w:rPr>
                <w:rFonts w:ascii="Arial" w:hAnsi="Arial" w:cs="Arial"/>
                <w:sz w:val="20"/>
                <w:szCs w:val="20"/>
              </w:rPr>
            </w:pPr>
            <w:r w:rsidRPr="00EC1B14">
              <w:rPr>
                <w:rFonts w:ascii="Arial" w:hAnsi="Arial" w:cs="Arial"/>
                <w:sz w:val="20"/>
                <w:szCs w:val="20"/>
              </w:rPr>
              <w:t>Advancements in agricultural technologies promoting climate-smart practices.</w:t>
            </w:r>
          </w:p>
        </w:tc>
        <w:tc>
          <w:tcPr>
            <w:tcW w:w="3827" w:type="dxa"/>
            <w:hideMark/>
          </w:tcPr>
          <w:p w14:paraId="0B364156"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Energy</w:t>
            </w:r>
            <w:r w:rsidRPr="00EC1B14">
              <w:rPr>
                <w:rFonts w:ascii="Arial" w:hAnsi="Arial" w:cs="Arial"/>
                <w:sz w:val="20"/>
                <w:szCs w:val="20"/>
              </w:rPr>
              <w:t xml:space="preserve">: Shift towards renewable energy sources, </w:t>
            </w:r>
          </w:p>
          <w:p w14:paraId="3B753392"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Agriculture</w:t>
            </w:r>
            <w:r w:rsidRPr="00EC1B14">
              <w:rPr>
                <w:rFonts w:ascii="Arial" w:hAnsi="Arial" w:cs="Arial"/>
                <w:sz w:val="20"/>
                <w:szCs w:val="20"/>
              </w:rPr>
              <w:t>: Adoption of precision farming technologies</w:t>
            </w:r>
          </w:p>
          <w:p w14:paraId="1A482BC7" w14:textId="7D6998DB"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Sustainable Tourism Experiences</w:t>
            </w:r>
            <w:r w:rsidRPr="00EC1B14">
              <w:rPr>
                <w:rFonts w:ascii="Arial" w:hAnsi="Arial" w:cs="Arial"/>
                <w:sz w:val="20"/>
                <w:szCs w:val="20"/>
              </w:rPr>
              <w:t xml:space="preserve">: </w:t>
            </w:r>
            <w:r w:rsidR="00D36A16" w:rsidRPr="00EC1B14">
              <w:rPr>
                <w:rFonts w:ascii="Arial" w:hAnsi="Arial" w:cs="Arial"/>
                <w:sz w:val="20"/>
                <w:szCs w:val="20"/>
              </w:rPr>
              <w:t>Integrating</w:t>
            </w:r>
            <w:r w:rsidRPr="00EC1B14">
              <w:rPr>
                <w:rFonts w:ascii="Arial" w:hAnsi="Arial" w:cs="Arial"/>
                <w:sz w:val="20"/>
                <w:szCs w:val="20"/>
              </w:rPr>
              <w:t xml:space="preserve"> advanced technologies for eco-friendly tours and activities.</w:t>
            </w:r>
          </w:p>
          <w:p w14:paraId="5DC42C8F" w14:textId="67785671"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All Industries</w:t>
            </w:r>
            <w:r w:rsidRPr="00EC1B14">
              <w:rPr>
                <w:rFonts w:ascii="Arial" w:hAnsi="Arial" w:cs="Arial"/>
                <w:sz w:val="20"/>
                <w:szCs w:val="20"/>
              </w:rPr>
              <w:t xml:space="preserve">: Energy-Efficient Infrastructure: </w:t>
            </w:r>
            <w:r w:rsidR="00462ED9" w:rsidRPr="00EC1B14">
              <w:rPr>
                <w:rFonts w:ascii="Arial" w:hAnsi="Arial" w:cs="Arial"/>
                <w:sz w:val="20"/>
                <w:szCs w:val="20"/>
              </w:rPr>
              <w:t>Implementing</w:t>
            </w:r>
            <w:r w:rsidRPr="00EC1B14">
              <w:rPr>
                <w:rFonts w:ascii="Arial" w:hAnsi="Arial" w:cs="Arial"/>
                <w:sz w:val="20"/>
                <w:szCs w:val="20"/>
              </w:rPr>
              <w:t xml:space="preserve"> green technologies in hotels and transportation.</w:t>
            </w:r>
          </w:p>
        </w:tc>
      </w:tr>
      <w:tr w:rsidR="007E1EE6" w:rsidRPr="00EC1B14" w14:paraId="003E3C93" w14:textId="77777777" w:rsidTr="00B02ECB">
        <w:trPr>
          <w:trHeight w:val="20"/>
        </w:trPr>
        <w:tc>
          <w:tcPr>
            <w:tcW w:w="1830" w:type="dxa"/>
            <w:hideMark/>
          </w:tcPr>
          <w:p w14:paraId="5890E12D" w14:textId="77777777" w:rsidR="00E64C45" w:rsidRPr="00EC1B14" w:rsidRDefault="00E64C45" w:rsidP="00D25F24">
            <w:pPr>
              <w:spacing w:before="100" w:beforeAutospacing="1"/>
              <w:rPr>
                <w:rFonts w:ascii="Arial" w:hAnsi="Arial" w:cs="Arial"/>
                <w:sz w:val="20"/>
                <w:szCs w:val="20"/>
              </w:rPr>
            </w:pPr>
            <w:r w:rsidRPr="00EC1B14">
              <w:rPr>
                <w:rFonts w:ascii="Arial" w:hAnsi="Arial" w:cs="Arial"/>
                <w:sz w:val="20"/>
                <w:szCs w:val="20"/>
              </w:rPr>
              <w:t>Supply Chain Analysis</w:t>
            </w:r>
          </w:p>
        </w:tc>
        <w:tc>
          <w:tcPr>
            <w:tcW w:w="3410" w:type="dxa"/>
            <w:hideMark/>
          </w:tcPr>
          <w:p w14:paraId="491B7089" w14:textId="77777777" w:rsidR="00E64C45" w:rsidRPr="00EC1B14" w:rsidRDefault="00E64C45" w:rsidP="00D25F24">
            <w:pPr>
              <w:pStyle w:val="ListParagraph"/>
              <w:numPr>
                <w:ilvl w:val="0"/>
                <w:numId w:val="3"/>
              </w:numPr>
              <w:spacing w:before="100" w:beforeAutospacing="1"/>
              <w:ind w:left="327" w:right="28" w:hanging="284"/>
              <w:rPr>
                <w:rFonts w:ascii="Arial" w:hAnsi="Arial" w:cs="Arial"/>
                <w:sz w:val="20"/>
                <w:szCs w:val="20"/>
              </w:rPr>
            </w:pPr>
            <w:r w:rsidRPr="00EC1B14">
              <w:rPr>
                <w:rFonts w:ascii="Arial" w:hAnsi="Arial" w:cs="Arial"/>
                <w:sz w:val="20"/>
                <w:szCs w:val="20"/>
              </w:rPr>
              <w:t>Dependence on carbon-intensive resources in manufacturing industries facing supply chain disruptions.</w:t>
            </w:r>
          </w:p>
          <w:p w14:paraId="3CB914E8" w14:textId="77777777" w:rsidR="00E64C45" w:rsidRPr="00EC1B14" w:rsidRDefault="00E64C45" w:rsidP="00D25F24">
            <w:pPr>
              <w:pStyle w:val="ListParagraph"/>
              <w:numPr>
                <w:ilvl w:val="0"/>
                <w:numId w:val="3"/>
              </w:numPr>
              <w:spacing w:before="100" w:beforeAutospacing="1"/>
              <w:ind w:left="327" w:right="28" w:hanging="284"/>
              <w:rPr>
                <w:rFonts w:ascii="Arial" w:hAnsi="Arial" w:cs="Arial"/>
                <w:sz w:val="20"/>
                <w:szCs w:val="20"/>
              </w:rPr>
            </w:pPr>
            <w:r w:rsidRPr="00EC1B14">
              <w:rPr>
                <w:rFonts w:ascii="Arial" w:hAnsi="Arial" w:cs="Arial"/>
                <w:sz w:val="20"/>
                <w:szCs w:val="20"/>
              </w:rPr>
              <w:t>Impact of sustainable sourcing practices on the agricultural sector.</w:t>
            </w:r>
          </w:p>
        </w:tc>
        <w:tc>
          <w:tcPr>
            <w:tcW w:w="3827" w:type="dxa"/>
            <w:hideMark/>
          </w:tcPr>
          <w:p w14:paraId="2363D9A8" w14:textId="4A551217" w:rsidR="00E64C45" w:rsidRPr="00EC1B14" w:rsidRDefault="00E64C45" w:rsidP="00D25F24">
            <w:pPr>
              <w:pStyle w:val="ListParagraph"/>
              <w:numPr>
                <w:ilvl w:val="0"/>
                <w:numId w:val="1"/>
              </w:numPr>
              <w:spacing w:before="100" w:beforeAutospacing="1"/>
              <w:ind w:left="327" w:right="31" w:hanging="284"/>
              <w:rPr>
                <w:rFonts w:ascii="Arial" w:hAnsi="Arial" w:cs="Arial"/>
                <w:b/>
                <w:bCs/>
                <w:sz w:val="20"/>
                <w:szCs w:val="20"/>
              </w:rPr>
            </w:pPr>
            <w:r w:rsidRPr="00EC1B14">
              <w:rPr>
                <w:rFonts w:ascii="Arial" w:hAnsi="Arial" w:cs="Arial"/>
                <w:b/>
                <w:bCs/>
                <w:sz w:val="20"/>
                <w:szCs w:val="20"/>
              </w:rPr>
              <w:t xml:space="preserve">Manufacturing: </w:t>
            </w:r>
            <w:r w:rsidRPr="00EC1B14">
              <w:rPr>
                <w:rFonts w:ascii="Arial" w:hAnsi="Arial" w:cs="Arial"/>
                <w:sz w:val="20"/>
                <w:szCs w:val="20"/>
              </w:rPr>
              <w:t>Supply chain disruptions</w:t>
            </w:r>
            <w:r w:rsidRPr="00EC1B14">
              <w:rPr>
                <w:rFonts w:ascii="Arial" w:hAnsi="Arial" w:cs="Arial"/>
                <w:b/>
                <w:bCs/>
                <w:sz w:val="20"/>
                <w:szCs w:val="20"/>
              </w:rPr>
              <w:t xml:space="preserve"> </w:t>
            </w:r>
          </w:p>
          <w:p w14:paraId="48A1BF8C"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 xml:space="preserve">Agriculture: </w:t>
            </w:r>
            <w:r w:rsidRPr="00EC1B14">
              <w:rPr>
                <w:rFonts w:ascii="Arial" w:hAnsi="Arial" w:cs="Arial"/>
                <w:sz w:val="20"/>
                <w:szCs w:val="20"/>
              </w:rPr>
              <w:t>Shifting sourcing dynamics</w:t>
            </w:r>
          </w:p>
        </w:tc>
      </w:tr>
      <w:tr w:rsidR="007E1EE6" w:rsidRPr="00EC1B14" w14:paraId="5CC8675F" w14:textId="77777777" w:rsidTr="00B02ECB">
        <w:trPr>
          <w:trHeight w:val="20"/>
        </w:trPr>
        <w:tc>
          <w:tcPr>
            <w:tcW w:w="1830" w:type="dxa"/>
            <w:hideMark/>
          </w:tcPr>
          <w:p w14:paraId="6EA6774A" w14:textId="77777777" w:rsidR="00E64C45" w:rsidRPr="00EC1B14" w:rsidRDefault="00E64C45" w:rsidP="00D25F24">
            <w:pPr>
              <w:spacing w:before="100" w:beforeAutospacing="1"/>
              <w:rPr>
                <w:rFonts w:ascii="Arial" w:hAnsi="Arial" w:cs="Arial"/>
                <w:sz w:val="20"/>
                <w:szCs w:val="20"/>
              </w:rPr>
            </w:pPr>
            <w:r w:rsidRPr="00EC1B14">
              <w:rPr>
                <w:rFonts w:ascii="Arial" w:hAnsi="Arial" w:cs="Arial"/>
                <w:sz w:val="20"/>
                <w:szCs w:val="20"/>
              </w:rPr>
              <w:t>Financial Market Considerations</w:t>
            </w:r>
          </w:p>
        </w:tc>
        <w:tc>
          <w:tcPr>
            <w:tcW w:w="3410" w:type="dxa"/>
            <w:hideMark/>
          </w:tcPr>
          <w:p w14:paraId="033B5251" w14:textId="77777777" w:rsidR="00E64C45" w:rsidRPr="00EC1B14" w:rsidRDefault="00E64C45" w:rsidP="00D25F24">
            <w:pPr>
              <w:pStyle w:val="ListParagraph"/>
              <w:numPr>
                <w:ilvl w:val="0"/>
                <w:numId w:val="3"/>
              </w:numPr>
              <w:spacing w:before="100" w:beforeAutospacing="1"/>
              <w:ind w:left="327" w:hanging="284"/>
              <w:rPr>
                <w:rFonts w:ascii="Arial" w:hAnsi="Arial" w:cs="Arial"/>
                <w:sz w:val="20"/>
                <w:szCs w:val="20"/>
              </w:rPr>
            </w:pPr>
            <w:r w:rsidRPr="00EC1B14">
              <w:rPr>
                <w:rFonts w:ascii="Arial" w:hAnsi="Arial" w:cs="Arial"/>
                <w:sz w:val="20"/>
                <w:szCs w:val="20"/>
              </w:rPr>
              <w:t>Integration of ESG criteria by investors affecting financing options for non-compliant businesses.</w:t>
            </w:r>
          </w:p>
          <w:p w14:paraId="15D195AA" w14:textId="77777777" w:rsidR="00E64C45" w:rsidRPr="00EC1B14" w:rsidRDefault="00E64C45" w:rsidP="00D25F24">
            <w:pPr>
              <w:pStyle w:val="ListParagraph"/>
              <w:numPr>
                <w:ilvl w:val="0"/>
                <w:numId w:val="3"/>
              </w:numPr>
              <w:spacing w:before="100" w:beforeAutospacing="1"/>
              <w:ind w:left="327" w:hanging="284"/>
              <w:rPr>
                <w:rFonts w:ascii="Arial" w:hAnsi="Arial" w:cs="Arial"/>
                <w:sz w:val="20"/>
                <w:szCs w:val="20"/>
              </w:rPr>
            </w:pPr>
            <w:r w:rsidRPr="00EC1B14">
              <w:rPr>
                <w:rFonts w:ascii="Arial" w:hAnsi="Arial" w:cs="Arial"/>
                <w:sz w:val="20"/>
                <w:szCs w:val="20"/>
              </w:rPr>
              <w:t>Development of green financial products influencing investment decisions.</w:t>
            </w:r>
          </w:p>
        </w:tc>
        <w:tc>
          <w:tcPr>
            <w:tcW w:w="3827" w:type="dxa"/>
            <w:hideMark/>
          </w:tcPr>
          <w:p w14:paraId="246762FE" w14:textId="4A4C22EC" w:rsidR="00E64C45" w:rsidRPr="00EC1B14" w:rsidRDefault="00E64C45" w:rsidP="00D25F24">
            <w:pPr>
              <w:pStyle w:val="ListParagraph"/>
              <w:numPr>
                <w:ilvl w:val="0"/>
                <w:numId w:val="1"/>
              </w:numPr>
              <w:spacing w:before="100" w:beforeAutospacing="1"/>
              <w:ind w:left="327" w:right="31" w:hanging="284"/>
              <w:rPr>
                <w:rFonts w:ascii="Arial" w:hAnsi="Arial" w:cs="Arial"/>
                <w:b/>
                <w:bCs/>
                <w:sz w:val="20"/>
                <w:szCs w:val="20"/>
              </w:rPr>
            </w:pPr>
            <w:r w:rsidRPr="00EC1B14">
              <w:rPr>
                <w:rFonts w:ascii="Arial" w:hAnsi="Arial" w:cs="Arial"/>
                <w:b/>
                <w:bCs/>
                <w:sz w:val="20"/>
                <w:szCs w:val="20"/>
              </w:rPr>
              <w:t xml:space="preserve">Banking: </w:t>
            </w:r>
            <w:r w:rsidRPr="00EC1B14">
              <w:rPr>
                <w:rFonts w:ascii="Arial" w:hAnsi="Arial" w:cs="Arial"/>
                <w:sz w:val="20"/>
                <w:szCs w:val="20"/>
              </w:rPr>
              <w:t>Financing aligned with sustainable practices</w:t>
            </w:r>
          </w:p>
          <w:p w14:paraId="2D4D78A6" w14:textId="65E49445" w:rsidR="00E64C45" w:rsidRPr="00EC1B14" w:rsidRDefault="00E64C45" w:rsidP="00D25F24">
            <w:pPr>
              <w:pStyle w:val="ListParagraph"/>
              <w:numPr>
                <w:ilvl w:val="0"/>
                <w:numId w:val="1"/>
              </w:numPr>
              <w:spacing w:before="100" w:beforeAutospacing="1"/>
              <w:ind w:left="327" w:right="31" w:hanging="284"/>
              <w:rPr>
                <w:rFonts w:ascii="Arial" w:hAnsi="Arial" w:cs="Arial"/>
                <w:b/>
                <w:bCs/>
                <w:sz w:val="20"/>
                <w:szCs w:val="20"/>
              </w:rPr>
            </w:pPr>
            <w:r w:rsidRPr="00EC1B14">
              <w:rPr>
                <w:rFonts w:ascii="Arial" w:hAnsi="Arial" w:cs="Arial"/>
                <w:b/>
                <w:bCs/>
                <w:sz w:val="20"/>
                <w:szCs w:val="20"/>
              </w:rPr>
              <w:t xml:space="preserve">Banking: </w:t>
            </w:r>
            <w:r w:rsidRPr="00EC1B14">
              <w:rPr>
                <w:rFonts w:ascii="Arial" w:hAnsi="Arial" w:cs="Arial"/>
                <w:sz w:val="20"/>
                <w:szCs w:val="20"/>
              </w:rPr>
              <w:t>Development of green financial products influencing investment decisions</w:t>
            </w:r>
          </w:p>
          <w:p w14:paraId="101A51FF"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 xml:space="preserve">Real Estate: </w:t>
            </w:r>
            <w:r w:rsidRPr="00EC1B14">
              <w:rPr>
                <w:rFonts w:ascii="Arial" w:hAnsi="Arial" w:cs="Arial"/>
                <w:sz w:val="20"/>
                <w:szCs w:val="20"/>
              </w:rPr>
              <w:t>Demand for green building initiatives</w:t>
            </w:r>
          </w:p>
        </w:tc>
      </w:tr>
      <w:tr w:rsidR="007E1EE6" w:rsidRPr="00EC1B14" w14:paraId="54329D8D" w14:textId="77777777" w:rsidTr="00B02ECB">
        <w:trPr>
          <w:trHeight w:val="20"/>
        </w:trPr>
        <w:tc>
          <w:tcPr>
            <w:tcW w:w="1830" w:type="dxa"/>
            <w:hideMark/>
          </w:tcPr>
          <w:p w14:paraId="0F328926" w14:textId="77777777" w:rsidR="00E64C45" w:rsidRPr="00EC1B14" w:rsidRDefault="00E64C45" w:rsidP="00D25F24">
            <w:pPr>
              <w:spacing w:before="100" w:beforeAutospacing="1"/>
              <w:rPr>
                <w:rFonts w:ascii="Arial" w:hAnsi="Arial" w:cs="Arial"/>
                <w:sz w:val="20"/>
                <w:szCs w:val="20"/>
              </w:rPr>
            </w:pPr>
            <w:r w:rsidRPr="00EC1B14">
              <w:rPr>
                <w:rFonts w:ascii="Arial" w:hAnsi="Arial" w:cs="Arial"/>
                <w:sz w:val="20"/>
                <w:szCs w:val="20"/>
              </w:rPr>
              <w:t>Social Awareness and Reputation</w:t>
            </w:r>
          </w:p>
        </w:tc>
        <w:tc>
          <w:tcPr>
            <w:tcW w:w="3410" w:type="dxa"/>
            <w:hideMark/>
          </w:tcPr>
          <w:p w14:paraId="20C41DEB" w14:textId="77777777" w:rsidR="00E64C45" w:rsidRPr="00EC1B14" w:rsidRDefault="00E64C45" w:rsidP="00D25F24">
            <w:pPr>
              <w:pStyle w:val="ListParagraph"/>
              <w:numPr>
                <w:ilvl w:val="0"/>
                <w:numId w:val="3"/>
              </w:numPr>
              <w:spacing w:before="100" w:beforeAutospacing="1"/>
              <w:ind w:left="327" w:hanging="284"/>
              <w:rPr>
                <w:rFonts w:ascii="Arial" w:hAnsi="Arial" w:cs="Arial"/>
                <w:sz w:val="20"/>
                <w:szCs w:val="20"/>
              </w:rPr>
            </w:pPr>
            <w:r w:rsidRPr="00EC1B14">
              <w:rPr>
                <w:rFonts w:ascii="Arial" w:hAnsi="Arial" w:cs="Arial"/>
                <w:sz w:val="20"/>
                <w:szCs w:val="20"/>
              </w:rPr>
              <w:t>Consumer backlash against businesses perceived as environmentally irresponsible.</w:t>
            </w:r>
          </w:p>
          <w:p w14:paraId="1EBC932B" w14:textId="77777777" w:rsidR="00E64C45" w:rsidRPr="00EC1B14" w:rsidRDefault="00E64C45" w:rsidP="00D25F24">
            <w:pPr>
              <w:pStyle w:val="ListParagraph"/>
              <w:numPr>
                <w:ilvl w:val="0"/>
                <w:numId w:val="3"/>
              </w:numPr>
              <w:spacing w:before="100" w:beforeAutospacing="1"/>
              <w:ind w:left="327" w:hanging="284"/>
              <w:rPr>
                <w:rFonts w:ascii="Arial" w:hAnsi="Arial" w:cs="Arial"/>
                <w:sz w:val="20"/>
                <w:szCs w:val="20"/>
              </w:rPr>
            </w:pPr>
            <w:r w:rsidRPr="00EC1B14">
              <w:rPr>
                <w:rFonts w:ascii="Arial" w:hAnsi="Arial" w:cs="Arial"/>
                <w:sz w:val="20"/>
                <w:szCs w:val="20"/>
              </w:rPr>
              <w:t>Positive market perception and customer loyalty for companies adopting sustainable practices.</w:t>
            </w:r>
          </w:p>
        </w:tc>
        <w:tc>
          <w:tcPr>
            <w:tcW w:w="3827" w:type="dxa"/>
            <w:hideMark/>
          </w:tcPr>
          <w:p w14:paraId="4366A772"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 xml:space="preserve">All Industries: </w:t>
            </w:r>
            <w:r w:rsidRPr="00EC1B14">
              <w:rPr>
                <w:rFonts w:ascii="Arial" w:hAnsi="Arial" w:cs="Arial"/>
                <w:sz w:val="20"/>
                <w:szCs w:val="20"/>
              </w:rPr>
              <w:t>Reputational impacts, consumer-driven changes</w:t>
            </w:r>
          </w:p>
        </w:tc>
      </w:tr>
      <w:tr w:rsidR="007E1EE6" w:rsidRPr="00EC1B14" w14:paraId="443DFF10" w14:textId="77777777" w:rsidTr="00B02ECB">
        <w:trPr>
          <w:trHeight w:val="20"/>
        </w:trPr>
        <w:tc>
          <w:tcPr>
            <w:tcW w:w="1830" w:type="dxa"/>
            <w:hideMark/>
          </w:tcPr>
          <w:p w14:paraId="34D2FB99" w14:textId="77777777" w:rsidR="00E64C45" w:rsidRPr="00EC1B14" w:rsidRDefault="00E64C45" w:rsidP="00D25F24">
            <w:pPr>
              <w:spacing w:before="100" w:beforeAutospacing="1"/>
              <w:rPr>
                <w:rFonts w:ascii="Arial" w:hAnsi="Arial" w:cs="Arial"/>
                <w:sz w:val="20"/>
                <w:szCs w:val="20"/>
              </w:rPr>
            </w:pPr>
            <w:r w:rsidRPr="00EC1B14">
              <w:rPr>
                <w:rFonts w:ascii="Arial" w:hAnsi="Arial" w:cs="Arial"/>
                <w:sz w:val="20"/>
                <w:szCs w:val="20"/>
              </w:rPr>
              <w:t>International Agreements</w:t>
            </w:r>
          </w:p>
        </w:tc>
        <w:tc>
          <w:tcPr>
            <w:tcW w:w="3410" w:type="dxa"/>
            <w:hideMark/>
          </w:tcPr>
          <w:p w14:paraId="1D0ADA1A" w14:textId="21D211AC" w:rsidR="00E64C45" w:rsidRPr="00EC1B14" w:rsidRDefault="00462ED9" w:rsidP="00D25F24">
            <w:pPr>
              <w:pStyle w:val="ListParagraph"/>
              <w:numPr>
                <w:ilvl w:val="0"/>
                <w:numId w:val="3"/>
              </w:numPr>
              <w:spacing w:before="100" w:beforeAutospacing="1"/>
              <w:ind w:left="327" w:hanging="284"/>
              <w:rPr>
                <w:rFonts w:ascii="Arial" w:hAnsi="Arial" w:cs="Arial"/>
                <w:sz w:val="20"/>
                <w:szCs w:val="20"/>
              </w:rPr>
            </w:pPr>
            <w:r w:rsidRPr="00EC1B14">
              <w:rPr>
                <w:rFonts w:ascii="Arial" w:hAnsi="Arial" w:cs="Arial"/>
                <w:sz w:val="20"/>
                <w:szCs w:val="20"/>
              </w:rPr>
              <w:t>Aligning Kenyan policies with international agreements like the Paris Agreement influences</w:t>
            </w:r>
            <w:r w:rsidR="00E64C45" w:rsidRPr="00EC1B14">
              <w:rPr>
                <w:rFonts w:ascii="Arial" w:hAnsi="Arial" w:cs="Arial"/>
                <w:sz w:val="20"/>
                <w:szCs w:val="20"/>
              </w:rPr>
              <w:t xml:space="preserve"> regulatory changes.</w:t>
            </w:r>
          </w:p>
          <w:p w14:paraId="445DCFCB" w14:textId="77777777" w:rsidR="00E64C45" w:rsidRPr="00EC1B14" w:rsidRDefault="00E64C45" w:rsidP="00D25F24">
            <w:pPr>
              <w:pStyle w:val="ListParagraph"/>
              <w:numPr>
                <w:ilvl w:val="0"/>
                <w:numId w:val="3"/>
              </w:numPr>
              <w:spacing w:before="100" w:beforeAutospacing="1"/>
              <w:ind w:left="327" w:hanging="284"/>
              <w:rPr>
                <w:rFonts w:ascii="Arial" w:hAnsi="Arial" w:cs="Arial"/>
                <w:sz w:val="20"/>
                <w:szCs w:val="20"/>
              </w:rPr>
            </w:pPr>
            <w:r w:rsidRPr="00EC1B14">
              <w:rPr>
                <w:rFonts w:ascii="Arial" w:hAnsi="Arial" w:cs="Arial"/>
                <w:sz w:val="20"/>
                <w:szCs w:val="20"/>
              </w:rPr>
              <w:t>Participation in global sustainable development initiatives impacting local industries.</w:t>
            </w:r>
          </w:p>
        </w:tc>
        <w:tc>
          <w:tcPr>
            <w:tcW w:w="3827" w:type="dxa"/>
            <w:hideMark/>
          </w:tcPr>
          <w:p w14:paraId="5DF96900"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sz w:val="20"/>
                <w:szCs w:val="20"/>
              </w:rPr>
            </w:pPr>
            <w:r w:rsidRPr="00EC1B14">
              <w:rPr>
                <w:rFonts w:ascii="Arial" w:hAnsi="Arial" w:cs="Arial"/>
                <w:b/>
                <w:bCs/>
                <w:sz w:val="20"/>
                <w:szCs w:val="20"/>
              </w:rPr>
              <w:t xml:space="preserve">All Industries: </w:t>
            </w:r>
            <w:r w:rsidRPr="00EC1B14">
              <w:rPr>
                <w:rFonts w:ascii="Arial" w:hAnsi="Arial" w:cs="Arial"/>
                <w:sz w:val="20"/>
                <w:szCs w:val="20"/>
              </w:rPr>
              <w:t>Compliance with global standards, market access</w:t>
            </w:r>
          </w:p>
        </w:tc>
      </w:tr>
      <w:tr w:rsidR="007E1EE6" w:rsidRPr="00EC1B14" w14:paraId="383B8EC5" w14:textId="77777777" w:rsidTr="00B02ECB">
        <w:trPr>
          <w:trHeight w:val="20"/>
        </w:trPr>
        <w:tc>
          <w:tcPr>
            <w:tcW w:w="1830" w:type="dxa"/>
            <w:hideMark/>
          </w:tcPr>
          <w:p w14:paraId="196EEF64" w14:textId="77777777" w:rsidR="00E64C45" w:rsidRPr="00EC1B14" w:rsidRDefault="00E64C45" w:rsidP="00D25F24">
            <w:pPr>
              <w:spacing w:before="100" w:beforeAutospacing="1"/>
              <w:rPr>
                <w:rFonts w:ascii="Arial" w:hAnsi="Arial" w:cs="Arial"/>
                <w:sz w:val="20"/>
                <w:szCs w:val="20"/>
              </w:rPr>
            </w:pPr>
            <w:r w:rsidRPr="00EC1B14">
              <w:rPr>
                <w:rFonts w:ascii="Arial" w:hAnsi="Arial" w:cs="Arial"/>
                <w:sz w:val="20"/>
                <w:szCs w:val="20"/>
              </w:rPr>
              <w:t>Legal and Litigation Environment</w:t>
            </w:r>
          </w:p>
        </w:tc>
        <w:tc>
          <w:tcPr>
            <w:tcW w:w="3410" w:type="dxa"/>
            <w:hideMark/>
          </w:tcPr>
          <w:p w14:paraId="4FE29C5B" w14:textId="77777777" w:rsidR="00E64C45" w:rsidRPr="00EC1B14" w:rsidRDefault="00E64C45" w:rsidP="00D25F24">
            <w:pPr>
              <w:pStyle w:val="ListParagraph"/>
              <w:numPr>
                <w:ilvl w:val="0"/>
                <w:numId w:val="3"/>
              </w:numPr>
              <w:spacing w:before="100" w:beforeAutospacing="1"/>
              <w:ind w:left="327" w:hanging="284"/>
              <w:rPr>
                <w:rFonts w:ascii="Arial" w:hAnsi="Arial" w:cs="Arial"/>
                <w:sz w:val="20"/>
                <w:szCs w:val="20"/>
              </w:rPr>
            </w:pPr>
            <w:r w:rsidRPr="00EC1B14">
              <w:rPr>
                <w:rFonts w:ascii="Arial" w:hAnsi="Arial" w:cs="Arial"/>
                <w:sz w:val="20"/>
                <w:szCs w:val="20"/>
              </w:rPr>
              <w:t>Introduction of legal frameworks mandating climate-related disclosures impacting non-compliant entities.</w:t>
            </w:r>
          </w:p>
          <w:p w14:paraId="43951E68" w14:textId="77777777" w:rsidR="00E64C45" w:rsidRPr="00EC1B14" w:rsidRDefault="00E64C45" w:rsidP="00D25F24">
            <w:pPr>
              <w:pStyle w:val="ListParagraph"/>
              <w:numPr>
                <w:ilvl w:val="0"/>
                <w:numId w:val="3"/>
              </w:numPr>
              <w:spacing w:before="100" w:beforeAutospacing="1"/>
              <w:ind w:left="327" w:hanging="284"/>
              <w:rPr>
                <w:rFonts w:ascii="Arial" w:hAnsi="Arial" w:cs="Arial"/>
                <w:sz w:val="20"/>
                <w:szCs w:val="20"/>
              </w:rPr>
            </w:pPr>
            <w:r w:rsidRPr="00EC1B14">
              <w:rPr>
                <w:rFonts w:ascii="Arial" w:hAnsi="Arial" w:cs="Arial"/>
                <w:sz w:val="20"/>
                <w:szCs w:val="20"/>
              </w:rPr>
              <w:t>Potential litigation risks for businesses not adhering to emerging climate-related regulations.</w:t>
            </w:r>
          </w:p>
        </w:tc>
        <w:tc>
          <w:tcPr>
            <w:tcW w:w="3827" w:type="dxa"/>
            <w:hideMark/>
          </w:tcPr>
          <w:p w14:paraId="4ABC6355"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b/>
                <w:bCs/>
                <w:sz w:val="20"/>
                <w:szCs w:val="20"/>
              </w:rPr>
            </w:pPr>
            <w:r w:rsidRPr="00EC1B14">
              <w:rPr>
                <w:rFonts w:ascii="Arial" w:hAnsi="Arial" w:cs="Arial"/>
                <w:b/>
                <w:bCs/>
                <w:sz w:val="20"/>
                <w:szCs w:val="20"/>
              </w:rPr>
              <w:t xml:space="preserve">All Industries: </w:t>
            </w:r>
            <w:r w:rsidRPr="00EC1B14">
              <w:rPr>
                <w:rFonts w:ascii="Arial" w:hAnsi="Arial" w:cs="Arial"/>
                <w:sz w:val="20"/>
                <w:szCs w:val="20"/>
              </w:rPr>
              <w:t>Legal compliance challenges, potential lawsuits</w:t>
            </w:r>
          </w:p>
        </w:tc>
      </w:tr>
      <w:tr w:rsidR="007E1EE6" w:rsidRPr="00EC1B14" w14:paraId="2938F10A" w14:textId="77777777" w:rsidTr="00B02ECB">
        <w:trPr>
          <w:trHeight w:val="20"/>
        </w:trPr>
        <w:tc>
          <w:tcPr>
            <w:tcW w:w="1830" w:type="dxa"/>
            <w:hideMark/>
          </w:tcPr>
          <w:p w14:paraId="5FE0DBB4" w14:textId="77777777" w:rsidR="00E64C45" w:rsidRPr="00EC1B14" w:rsidRDefault="00E64C45" w:rsidP="00D25F24">
            <w:pPr>
              <w:spacing w:before="100" w:beforeAutospacing="1"/>
              <w:rPr>
                <w:rFonts w:ascii="Arial" w:hAnsi="Arial" w:cs="Arial"/>
                <w:sz w:val="20"/>
                <w:szCs w:val="20"/>
              </w:rPr>
            </w:pPr>
            <w:r w:rsidRPr="00EC1B14">
              <w:rPr>
                <w:rFonts w:ascii="Arial" w:hAnsi="Arial" w:cs="Arial"/>
                <w:sz w:val="20"/>
                <w:szCs w:val="20"/>
              </w:rPr>
              <w:t>Stakeholder Engagement</w:t>
            </w:r>
          </w:p>
        </w:tc>
        <w:tc>
          <w:tcPr>
            <w:tcW w:w="3410" w:type="dxa"/>
            <w:hideMark/>
          </w:tcPr>
          <w:p w14:paraId="505974D0" w14:textId="77777777" w:rsidR="00E64C45" w:rsidRPr="00EC1B14" w:rsidRDefault="00E64C45" w:rsidP="00D25F24">
            <w:pPr>
              <w:pStyle w:val="ListParagraph"/>
              <w:numPr>
                <w:ilvl w:val="0"/>
                <w:numId w:val="3"/>
              </w:numPr>
              <w:spacing w:before="100" w:beforeAutospacing="1"/>
              <w:ind w:left="327" w:hanging="284"/>
              <w:rPr>
                <w:rFonts w:ascii="Arial" w:hAnsi="Arial" w:cs="Arial"/>
                <w:sz w:val="20"/>
                <w:szCs w:val="20"/>
              </w:rPr>
            </w:pPr>
            <w:r w:rsidRPr="00EC1B14">
              <w:rPr>
                <w:rFonts w:ascii="Arial" w:hAnsi="Arial" w:cs="Arial"/>
                <w:sz w:val="20"/>
                <w:szCs w:val="20"/>
              </w:rPr>
              <w:t>Industry consultations leading to collaborative efforts for sustainable practices.</w:t>
            </w:r>
          </w:p>
          <w:p w14:paraId="12E32309" w14:textId="77777777" w:rsidR="00E64C45" w:rsidRPr="00EC1B14" w:rsidRDefault="00E64C45" w:rsidP="00D25F24">
            <w:pPr>
              <w:pStyle w:val="ListParagraph"/>
              <w:numPr>
                <w:ilvl w:val="0"/>
                <w:numId w:val="3"/>
              </w:numPr>
              <w:spacing w:before="100" w:beforeAutospacing="1"/>
              <w:ind w:left="327" w:hanging="284"/>
              <w:rPr>
                <w:rFonts w:ascii="Arial" w:hAnsi="Arial" w:cs="Arial"/>
                <w:sz w:val="20"/>
                <w:szCs w:val="20"/>
              </w:rPr>
            </w:pPr>
            <w:r w:rsidRPr="00EC1B14">
              <w:rPr>
                <w:rFonts w:ascii="Arial" w:hAnsi="Arial" w:cs="Arial"/>
                <w:sz w:val="20"/>
                <w:szCs w:val="20"/>
              </w:rPr>
              <w:t>Expectations from NGOs and civil society influencing businesses to adopt climate-friendly strategies.</w:t>
            </w:r>
          </w:p>
        </w:tc>
        <w:tc>
          <w:tcPr>
            <w:tcW w:w="3827" w:type="dxa"/>
            <w:hideMark/>
          </w:tcPr>
          <w:p w14:paraId="2EC3D115"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b/>
                <w:bCs/>
                <w:sz w:val="20"/>
                <w:szCs w:val="20"/>
              </w:rPr>
            </w:pPr>
            <w:r w:rsidRPr="00EC1B14">
              <w:rPr>
                <w:rFonts w:ascii="Arial" w:hAnsi="Arial" w:cs="Arial"/>
                <w:b/>
                <w:bCs/>
                <w:sz w:val="20"/>
                <w:szCs w:val="20"/>
              </w:rPr>
              <w:t xml:space="preserve">All Industries: </w:t>
            </w:r>
            <w:r w:rsidRPr="00EC1B14">
              <w:rPr>
                <w:rFonts w:ascii="Arial" w:hAnsi="Arial" w:cs="Arial"/>
                <w:sz w:val="20"/>
                <w:szCs w:val="20"/>
              </w:rPr>
              <w:t>Collaborative approaches, adapting to stakeholder expectations</w:t>
            </w:r>
          </w:p>
        </w:tc>
      </w:tr>
      <w:tr w:rsidR="007E1EE6" w:rsidRPr="00EC1B14" w14:paraId="46A4F164" w14:textId="77777777" w:rsidTr="00B02ECB">
        <w:trPr>
          <w:trHeight w:val="20"/>
        </w:trPr>
        <w:tc>
          <w:tcPr>
            <w:tcW w:w="1830" w:type="dxa"/>
            <w:hideMark/>
          </w:tcPr>
          <w:p w14:paraId="0883E161" w14:textId="77777777" w:rsidR="00E64C45" w:rsidRPr="00EC1B14" w:rsidRDefault="00E64C45" w:rsidP="00D25F24">
            <w:pPr>
              <w:spacing w:before="120" w:afterLines="120" w:after="288"/>
              <w:rPr>
                <w:rFonts w:ascii="Arial" w:hAnsi="Arial" w:cs="Arial"/>
                <w:sz w:val="20"/>
                <w:szCs w:val="20"/>
              </w:rPr>
            </w:pPr>
            <w:r w:rsidRPr="00EC1B14">
              <w:rPr>
                <w:rFonts w:ascii="Arial" w:hAnsi="Arial" w:cs="Arial"/>
                <w:sz w:val="20"/>
                <w:szCs w:val="20"/>
              </w:rPr>
              <w:t>Capacity Building</w:t>
            </w:r>
          </w:p>
        </w:tc>
        <w:tc>
          <w:tcPr>
            <w:tcW w:w="3410" w:type="dxa"/>
            <w:hideMark/>
          </w:tcPr>
          <w:p w14:paraId="466A0A6C" w14:textId="77777777" w:rsidR="00E64C45" w:rsidRPr="00EC1B14" w:rsidRDefault="00E64C45" w:rsidP="00D25F24">
            <w:pPr>
              <w:pStyle w:val="ListParagraph"/>
              <w:numPr>
                <w:ilvl w:val="0"/>
                <w:numId w:val="3"/>
              </w:numPr>
              <w:spacing w:before="120" w:afterLines="120" w:after="288"/>
              <w:ind w:left="327" w:hanging="284"/>
              <w:rPr>
                <w:rFonts w:ascii="Arial" w:hAnsi="Arial" w:cs="Arial"/>
                <w:sz w:val="20"/>
                <w:szCs w:val="20"/>
              </w:rPr>
            </w:pPr>
            <w:r w:rsidRPr="00EC1B14">
              <w:rPr>
                <w:rFonts w:ascii="Arial" w:hAnsi="Arial" w:cs="Arial"/>
                <w:sz w:val="20"/>
                <w:szCs w:val="20"/>
              </w:rPr>
              <w:t>Training programs enhancing the capacity of businesses to adapt to sustainable practices.</w:t>
            </w:r>
          </w:p>
          <w:p w14:paraId="6D1EB64F" w14:textId="77777777" w:rsidR="00E64C45" w:rsidRPr="00EC1B14" w:rsidRDefault="00E64C45" w:rsidP="00D25F24">
            <w:pPr>
              <w:pStyle w:val="ListParagraph"/>
              <w:numPr>
                <w:ilvl w:val="0"/>
                <w:numId w:val="3"/>
              </w:numPr>
              <w:spacing w:before="120" w:afterLines="120" w:after="288"/>
              <w:ind w:left="327" w:hanging="284"/>
              <w:rPr>
                <w:rFonts w:ascii="Arial" w:hAnsi="Arial" w:cs="Arial"/>
                <w:sz w:val="20"/>
                <w:szCs w:val="20"/>
              </w:rPr>
            </w:pPr>
            <w:r w:rsidRPr="00EC1B14">
              <w:rPr>
                <w:rFonts w:ascii="Arial" w:hAnsi="Arial" w:cs="Arial"/>
                <w:sz w:val="20"/>
                <w:szCs w:val="20"/>
              </w:rPr>
              <w:t>Increased awareness and education leading to a proactive approach to climate risk management.</w:t>
            </w:r>
          </w:p>
        </w:tc>
        <w:tc>
          <w:tcPr>
            <w:tcW w:w="3827" w:type="dxa"/>
            <w:hideMark/>
          </w:tcPr>
          <w:p w14:paraId="4E44F62D" w14:textId="77777777" w:rsidR="00E64C45" w:rsidRPr="00EC1B14" w:rsidRDefault="00E64C45" w:rsidP="00D25F24">
            <w:pPr>
              <w:pStyle w:val="ListParagraph"/>
              <w:numPr>
                <w:ilvl w:val="0"/>
                <w:numId w:val="1"/>
              </w:numPr>
              <w:spacing w:before="100" w:beforeAutospacing="1"/>
              <w:ind w:left="327" w:right="31" w:hanging="284"/>
              <w:rPr>
                <w:rFonts w:ascii="Arial" w:hAnsi="Arial" w:cs="Arial"/>
                <w:b/>
                <w:bCs/>
                <w:sz w:val="20"/>
                <w:szCs w:val="20"/>
              </w:rPr>
            </w:pPr>
            <w:r w:rsidRPr="00EC1B14">
              <w:rPr>
                <w:rFonts w:ascii="Arial" w:hAnsi="Arial" w:cs="Arial"/>
                <w:b/>
                <w:bCs/>
                <w:sz w:val="20"/>
                <w:szCs w:val="20"/>
              </w:rPr>
              <w:t>All Industries:</w:t>
            </w:r>
            <w:r w:rsidRPr="00EC1B14">
              <w:rPr>
                <w:rFonts w:ascii="Arial" w:hAnsi="Arial" w:cs="Arial"/>
                <w:sz w:val="20"/>
                <w:szCs w:val="20"/>
              </w:rPr>
              <w:t xml:space="preserve"> Skill development, readiness for sustainable practices</w:t>
            </w:r>
          </w:p>
        </w:tc>
      </w:tr>
    </w:tbl>
    <w:p w14:paraId="6C3562E6" w14:textId="77777777" w:rsidR="003273A3" w:rsidRPr="00EC1B14" w:rsidRDefault="003273A3" w:rsidP="00D25F24">
      <w:pPr>
        <w:pStyle w:val="Heading1"/>
        <w:keepNext w:val="0"/>
        <w:keepLines w:val="0"/>
        <w:spacing w:before="120" w:afterLines="120" w:after="288" w:line="240" w:lineRule="auto"/>
        <w:jc w:val="both"/>
        <w:rPr>
          <w:rFonts w:ascii="Arial" w:hAnsi="Arial" w:cs="Arial"/>
          <w:b/>
          <w:bCs/>
          <w:color w:val="auto"/>
          <w:sz w:val="22"/>
          <w:szCs w:val="22"/>
        </w:rPr>
      </w:pPr>
      <w:bookmarkStart w:id="47" w:name="_Toc159248361"/>
    </w:p>
    <w:p w14:paraId="2C73470B" w14:textId="704F3FBF" w:rsidR="00976B6A" w:rsidRPr="00EC1B14" w:rsidRDefault="00976B6A" w:rsidP="00D25F24">
      <w:pPr>
        <w:pStyle w:val="Heading1"/>
        <w:numPr>
          <w:ilvl w:val="0"/>
          <w:numId w:val="9"/>
        </w:numPr>
        <w:spacing w:before="100" w:beforeAutospacing="1" w:after="100" w:afterAutospacing="1" w:line="240" w:lineRule="auto"/>
        <w:rPr>
          <w:rFonts w:ascii="Arial" w:hAnsi="Arial" w:cs="Arial"/>
          <w:b/>
          <w:bCs/>
          <w:color w:val="auto"/>
          <w:sz w:val="26"/>
          <w:szCs w:val="26"/>
        </w:rPr>
      </w:pPr>
      <w:bookmarkStart w:id="48" w:name="_Toc171907005"/>
      <w:r w:rsidRPr="00EC1B14">
        <w:rPr>
          <w:rFonts w:ascii="Arial" w:hAnsi="Arial" w:cs="Arial"/>
          <w:b/>
          <w:bCs/>
          <w:color w:val="auto"/>
          <w:sz w:val="26"/>
          <w:szCs w:val="26"/>
        </w:rPr>
        <w:t xml:space="preserve">Regulatory Response to Climate-Related Risks in </w:t>
      </w:r>
      <w:r w:rsidR="00097BC9" w:rsidRPr="00EC1B14">
        <w:rPr>
          <w:rFonts w:ascii="Arial" w:hAnsi="Arial" w:cs="Arial"/>
          <w:b/>
          <w:bCs/>
          <w:color w:val="auto"/>
          <w:sz w:val="26"/>
          <w:szCs w:val="26"/>
        </w:rPr>
        <w:t xml:space="preserve">the </w:t>
      </w:r>
      <w:r w:rsidRPr="00EC1B14">
        <w:rPr>
          <w:rFonts w:ascii="Arial" w:hAnsi="Arial" w:cs="Arial"/>
          <w:b/>
          <w:bCs/>
          <w:color w:val="auto"/>
          <w:sz w:val="26"/>
          <w:szCs w:val="26"/>
        </w:rPr>
        <w:t>Kenya</w:t>
      </w:r>
      <w:bookmarkEnd w:id="47"/>
      <w:r w:rsidR="00EC1B14" w:rsidRPr="00EC1B14">
        <w:rPr>
          <w:rFonts w:ascii="Arial" w:hAnsi="Arial" w:cs="Arial"/>
          <w:b/>
          <w:bCs/>
          <w:color w:val="auto"/>
          <w:sz w:val="26"/>
          <w:szCs w:val="26"/>
        </w:rPr>
        <w:t>’s Banking</w:t>
      </w:r>
      <w:r w:rsidR="004E78E0" w:rsidRPr="00EC1B14">
        <w:rPr>
          <w:rFonts w:ascii="Arial" w:hAnsi="Arial" w:cs="Arial"/>
          <w:b/>
          <w:bCs/>
          <w:color w:val="auto"/>
          <w:sz w:val="26"/>
          <w:szCs w:val="26"/>
        </w:rPr>
        <w:t xml:space="preserve"> Sector</w:t>
      </w:r>
      <w:bookmarkEnd w:id="48"/>
    </w:p>
    <w:p w14:paraId="547C8C85" w14:textId="07FF9A68" w:rsidR="00A80B55" w:rsidRPr="00EC1B14" w:rsidRDefault="00976B6A" w:rsidP="00A80B55">
      <w:pPr>
        <w:pStyle w:val="yiv9813466779msonormal"/>
        <w:shd w:val="clear" w:color="auto" w:fill="FFFFFF"/>
        <w:spacing w:before="120" w:beforeAutospacing="0" w:afterLines="120" w:after="288" w:afterAutospacing="0"/>
        <w:jc w:val="both"/>
        <w:rPr>
          <w:rFonts w:ascii="Arial" w:hAnsi="Arial" w:cs="Arial"/>
          <w:sz w:val="22"/>
          <w:szCs w:val="22"/>
          <w:lang w:val="en-GB"/>
        </w:rPr>
      </w:pPr>
      <w:r w:rsidRPr="00EC1B14">
        <w:rPr>
          <w:rFonts w:ascii="Arial" w:hAnsi="Arial" w:cs="Arial"/>
          <w:sz w:val="22"/>
          <w:szCs w:val="22"/>
          <w:lang w:val="en-GB"/>
        </w:rPr>
        <w:t xml:space="preserve">Kenya's legislative landscape reflects a multifaceted response to climate-related risks and opportunities. The Climate Change </w:t>
      </w:r>
      <w:r w:rsidR="00E61B2A" w:rsidRPr="00EC1B14">
        <w:rPr>
          <w:rFonts w:ascii="Arial" w:hAnsi="Arial" w:cs="Arial"/>
          <w:sz w:val="22"/>
          <w:szCs w:val="22"/>
          <w:lang w:val="en-GB"/>
        </w:rPr>
        <w:t>Act</w:t>
      </w:r>
      <w:r w:rsidRPr="00EC1B14">
        <w:rPr>
          <w:rFonts w:ascii="Arial" w:hAnsi="Arial" w:cs="Arial"/>
          <w:sz w:val="22"/>
          <w:szCs w:val="22"/>
          <w:lang w:val="en-GB"/>
        </w:rPr>
        <w:t xml:space="preserve"> underscores the significance of </w:t>
      </w:r>
      <w:r w:rsidR="00845C35" w:rsidRPr="00EC1B14">
        <w:rPr>
          <w:rFonts w:ascii="Arial" w:hAnsi="Arial" w:cs="Arial"/>
          <w:sz w:val="22"/>
          <w:szCs w:val="22"/>
          <w:lang w:val="en-GB"/>
        </w:rPr>
        <w:t xml:space="preserve">the Task Force on </w:t>
      </w:r>
      <w:r w:rsidR="00B94B5D" w:rsidRPr="00EC1B14">
        <w:rPr>
          <w:rFonts w:ascii="Arial" w:hAnsi="Arial" w:cs="Arial"/>
          <w:sz w:val="22"/>
          <w:szCs w:val="22"/>
          <w:lang w:val="en-GB"/>
        </w:rPr>
        <w:t>Climate-Related</w:t>
      </w:r>
      <w:r w:rsidR="00845C35" w:rsidRPr="00EC1B14">
        <w:rPr>
          <w:rFonts w:ascii="Arial" w:hAnsi="Arial" w:cs="Arial"/>
          <w:sz w:val="22"/>
          <w:szCs w:val="22"/>
          <w:lang w:val="en-GB"/>
        </w:rPr>
        <w:t xml:space="preserve"> Financial Disclosures (TCFD)</w:t>
      </w:r>
      <w:r w:rsidRPr="00EC1B14">
        <w:rPr>
          <w:rFonts w:ascii="Arial" w:hAnsi="Arial" w:cs="Arial"/>
          <w:sz w:val="22"/>
          <w:szCs w:val="22"/>
          <w:lang w:val="en-GB"/>
        </w:rPr>
        <w:t xml:space="preserve"> recommendations (</w:t>
      </w:r>
      <w:r w:rsidR="00A80B55" w:rsidRPr="00EC1B14">
        <w:rPr>
          <w:rFonts w:ascii="Arial" w:hAnsi="Arial" w:cs="Arial"/>
          <w:sz w:val="22"/>
          <w:szCs w:val="22"/>
          <w:lang w:val="en-GB"/>
        </w:rPr>
        <w:t>now</w:t>
      </w:r>
      <w:r w:rsidRPr="00EC1B14">
        <w:rPr>
          <w:rFonts w:ascii="Arial" w:hAnsi="Arial" w:cs="Arial"/>
          <w:sz w:val="22"/>
          <w:szCs w:val="22"/>
          <w:lang w:val="en-GB"/>
        </w:rPr>
        <w:t xml:space="preserve"> </w:t>
      </w:r>
      <w:r w:rsidR="00A80B55" w:rsidRPr="00EC1B14">
        <w:rPr>
          <w:rFonts w:ascii="Arial" w:hAnsi="Arial" w:cs="Arial"/>
          <w:sz w:val="22"/>
          <w:szCs w:val="22"/>
          <w:lang w:val="en-GB"/>
        </w:rPr>
        <w:t>i</w:t>
      </w:r>
      <w:r w:rsidRPr="00EC1B14">
        <w:rPr>
          <w:rFonts w:ascii="Arial" w:hAnsi="Arial" w:cs="Arial"/>
          <w:sz w:val="22"/>
          <w:szCs w:val="22"/>
          <w:lang w:val="en-GB"/>
        </w:rPr>
        <w:t xml:space="preserve">ncorporated into IFRS-ISSB-S2 reporting requirements), </w:t>
      </w:r>
      <w:r w:rsidR="00462ED9" w:rsidRPr="00EC1B14">
        <w:rPr>
          <w:rFonts w:ascii="Arial" w:hAnsi="Arial" w:cs="Arial"/>
          <w:sz w:val="22"/>
          <w:szCs w:val="22"/>
          <w:lang w:val="en-GB"/>
        </w:rPr>
        <w:t>emphasising</w:t>
      </w:r>
      <w:r w:rsidRPr="00EC1B14">
        <w:rPr>
          <w:rFonts w:ascii="Arial" w:hAnsi="Arial" w:cs="Arial"/>
          <w:sz w:val="22"/>
          <w:szCs w:val="22"/>
          <w:lang w:val="en-GB"/>
        </w:rPr>
        <w:t xml:space="preserve"> the need for financial institutions to disclose climate risks comprehensively. </w:t>
      </w:r>
      <w:r w:rsidR="00A80B55" w:rsidRPr="00EC1B14">
        <w:rPr>
          <w:rFonts w:ascii="Arial" w:hAnsi="Arial" w:cs="Arial"/>
          <w:sz w:val="22"/>
          <w:szCs w:val="22"/>
          <w:lang w:val="en-GB"/>
        </w:rPr>
        <w:t>The Act further provides a comprehensive framework guiding climate governance, risk assessments, and adaptation planning at the national level. This legislation acknowledges the interconnectedness of climate-related risks across various sectors and articulates a strategic vision for climate resilience.</w:t>
      </w:r>
    </w:p>
    <w:p w14:paraId="6D3F7B5D" w14:textId="4786FE01" w:rsidR="00190D38" w:rsidRPr="00EC1B14" w:rsidRDefault="00190D38" w:rsidP="00190D38">
      <w:pPr>
        <w:jc w:val="both"/>
        <w:rPr>
          <w:rFonts w:ascii="Arial" w:hAnsi="Arial" w:cs="Arial"/>
        </w:rPr>
      </w:pPr>
      <w:r w:rsidRPr="00EC1B14">
        <w:rPr>
          <w:rFonts w:ascii="Arial" w:hAnsi="Arial" w:cs="Arial"/>
        </w:rPr>
        <w:t>As part of its regulatory framework, the C</w:t>
      </w:r>
      <w:r w:rsidR="00F97DCA" w:rsidRPr="00EC1B14">
        <w:rPr>
          <w:rFonts w:ascii="Arial" w:hAnsi="Arial" w:cs="Arial"/>
        </w:rPr>
        <w:t>BK</w:t>
      </w:r>
      <w:r w:rsidRPr="00EC1B14">
        <w:rPr>
          <w:rFonts w:ascii="Arial" w:hAnsi="Arial" w:cs="Arial"/>
        </w:rPr>
        <w:t xml:space="preserve"> requires banks to employ suitable procedures and systems to ensure their capital adequacy, with increased emphasis on risk management. These procedures, collectively known as the Internal Capital Adequacy Assessment Process (ICAAP), are the formal process through which banks identify, measure, aggregate and monitor material risk to ultimately build a risk profile that becomes the basis for allocating capital. By adhering to these ICAAP requirements, banks in Kenya can maintain a comprehensive risk management framework, address all material risks – including climate-related risks, and sustain adequate capital buffers to safeguard their solvency and stability.</w:t>
      </w:r>
    </w:p>
    <w:p w14:paraId="2F59CE31" w14:textId="110712E1" w:rsidR="00F97DCA" w:rsidRPr="00EC1B14" w:rsidRDefault="00F97DCA" w:rsidP="00491C88">
      <w:pPr>
        <w:autoSpaceDE w:val="0"/>
        <w:autoSpaceDN w:val="0"/>
        <w:adjustRightInd w:val="0"/>
        <w:spacing w:after="0" w:line="240" w:lineRule="auto"/>
        <w:jc w:val="both"/>
        <w:rPr>
          <w:rFonts w:ascii="Arial" w:hAnsi="Arial" w:cs="Arial"/>
        </w:rPr>
      </w:pPr>
      <w:r w:rsidRPr="00EC1B14">
        <w:rPr>
          <w:rFonts w:ascii="Arial" w:hAnsi="Arial" w:cs="Arial"/>
        </w:rPr>
        <w:t>Recognising the pervasive nature of climate-related financial risks, the CBK issued the Guidance on Climate-Related Risk Management in 2021. The guidance provides commercial banks with a roadmap for integrating climate-related risks into their decision-making and disclosure frameworks. It has been benchmarked against global best practices on climate risk management</w:t>
      </w:r>
      <w:r w:rsidRPr="00EC1B14">
        <w:rPr>
          <w:rFonts w:ascii="Arial" w:hAnsi="Arial" w:cs="Arial"/>
          <w:color w:val="4F4B4C"/>
          <w:kern w:val="0"/>
        </w:rPr>
        <w:t>, including the</w:t>
      </w:r>
      <w:r w:rsidR="009670F6" w:rsidRPr="00EC1B14">
        <w:rPr>
          <w:rFonts w:ascii="Arial" w:hAnsi="Arial" w:cs="Arial"/>
          <w:color w:val="4F4B4C"/>
          <w:kern w:val="0"/>
        </w:rPr>
        <w:t xml:space="preserve"> TCFD</w:t>
      </w:r>
      <w:r w:rsidRPr="00EC1B14">
        <w:rPr>
          <w:rFonts w:ascii="Arial" w:hAnsi="Arial" w:cs="Arial"/>
          <w:color w:val="4F4B4C"/>
          <w:kern w:val="0"/>
        </w:rPr>
        <w:t xml:space="preserve">, </w:t>
      </w:r>
      <w:r w:rsidR="009670F6" w:rsidRPr="00EC1B14">
        <w:rPr>
          <w:rFonts w:ascii="Arial" w:hAnsi="Arial" w:cs="Arial"/>
          <w:color w:val="4F4B4C"/>
          <w:kern w:val="0"/>
        </w:rPr>
        <w:t xml:space="preserve">the </w:t>
      </w:r>
      <w:r w:rsidRPr="00EC1B14">
        <w:rPr>
          <w:rFonts w:ascii="Arial" w:hAnsi="Arial" w:cs="Arial"/>
          <w:color w:val="4F4B4C"/>
          <w:kern w:val="0"/>
        </w:rPr>
        <w:t xml:space="preserve">Basel Committee on Banking Supervision, and </w:t>
      </w:r>
      <w:r w:rsidR="009670F6" w:rsidRPr="00EC1B14">
        <w:rPr>
          <w:rFonts w:ascii="Arial" w:hAnsi="Arial" w:cs="Arial"/>
          <w:color w:val="4F4B4C"/>
          <w:kern w:val="0"/>
        </w:rPr>
        <w:t xml:space="preserve">the </w:t>
      </w:r>
      <w:r w:rsidRPr="00EC1B14">
        <w:rPr>
          <w:rFonts w:ascii="Arial" w:hAnsi="Arial" w:cs="Arial"/>
          <w:color w:val="4F4B4C"/>
          <w:kern w:val="0"/>
        </w:rPr>
        <w:t>Network for Greening the Financial System, as well as guidance and guidelines on climate-related risk management by the Bank of England’s Prudential Regulatory Authority.</w:t>
      </w:r>
    </w:p>
    <w:p w14:paraId="34BFF9BE" w14:textId="77777777" w:rsidR="00F97DCA" w:rsidRPr="00EC1B14" w:rsidRDefault="00F97DCA" w:rsidP="00190D38">
      <w:pPr>
        <w:jc w:val="both"/>
        <w:rPr>
          <w:rFonts w:ascii="Arial" w:hAnsi="Arial" w:cs="Arial"/>
        </w:rPr>
      </w:pPr>
    </w:p>
    <w:p w14:paraId="55E019B5" w14:textId="1AEA7AD6" w:rsidR="00976B6A" w:rsidRPr="00EC1B14" w:rsidRDefault="004D130D" w:rsidP="00D25F24">
      <w:pPr>
        <w:pStyle w:val="yiv9813466779msonormal"/>
        <w:shd w:val="clear" w:color="auto" w:fill="FFFFFF"/>
        <w:spacing w:before="120" w:beforeAutospacing="0" w:afterLines="120" w:after="288" w:afterAutospacing="0"/>
        <w:jc w:val="both"/>
        <w:rPr>
          <w:rFonts w:ascii="Arial" w:hAnsi="Arial" w:cs="Arial"/>
          <w:sz w:val="22"/>
          <w:szCs w:val="22"/>
          <w:lang w:val="en-GB"/>
        </w:rPr>
      </w:pPr>
      <w:r w:rsidRPr="00EC1B14">
        <w:rPr>
          <w:rFonts w:ascii="Arial" w:hAnsi="Arial" w:cs="Arial"/>
          <w:sz w:val="22"/>
          <w:szCs w:val="22"/>
          <w:lang w:val="en-GB"/>
        </w:rPr>
        <w:t>The efforts by CBK have been supplemented by the Kenya Banker Association Sustainable Finance Guidelines</w:t>
      </w:r>
      <w:r w:rsidR="009670F6" w:rsidRPr="00EC1B14">
        <w:rPr>
          <w:rFonts w:ascii="Arial" w:hAnsi="Arial" w:cs="Arial"/>
          <w:sz w:val="22"/>
          <w:szCs w:val="22"/>
          <w:lang w:val="en-GB"/>
        </w:rPr>
        <w:t xml:space="preserve">, which are intended to support the banking sector in </w:t>
      </w:r>
      <w:r w:rsidR="00976B6A" w:rsidRPr="00EC1B14">
        <w:rPr>
          <w:rFonts w:ascii="Arial" w:hAnsi="Arial" w:cs="Arial"/>
          <w:sz w:val="22"/>
          <w:szCs w:val="22"/>
          <w:lang w:val="en-GB"/>
        </w:rPr>
        <w:t>emb</w:t>
      </w:r>
      <w:r w:rsidR="009670F6" w:rsidRPr="00EC1B14">
        <w:rPr>
          <w:rFonts w:ascii="Arial" w:hAnsi="Arial" w:cs="Arial"/>
          <w:sz w:val="22"/>
          <w:szCs w:val="22"/>
          <w:lang w:val="en-GB"/>
        </w:rPr>
        <w:t>edding</w:t>
      </w:r>
      <w:r w:rsidR="00976B6A" w:rsidRPr="00EC1B14">
        <w:rPr>
          <w:rFonts w:ascii="Arial" w:hAnsi="Arial" w:cs="Arial"/>
          <w:sz w:val="22"/>
          <w:szCs w:val="22"/>
          <w:lang w:val="en-GB"/>
        </w:rPr>
        <w:t xml:space="preserve"> sustainable finance practices. By encouraging banks to incorporate environmental and social risks into lending and investment decisions, </w:t>
      </w:r>
      <w:r w:rsidR="00F722F8" w:rsidRPr="00EC1B14">
        <w:rPr>
          <w:rFonts w:ascii="Arial" w:hAnsi="Arial" w:cs="Arial"/>
          <w:sz w:val="22"/>
          <w:szCs w:val="22"/>
          <w:lang w:val="en-GB"/>
        </w:rPr>
        <w:t xml:space="preserve"> the banking sector </w:t>
      </w:r>
      <w:r w:rsidR="00976B6A" w:rsidRPr="00EC1B14">
        <w:rPr>
          <w:rFonts w:ascii="Arial" w:hAnsi="Arial" w:cs="Arial"/>
          <w:sz w:val="22"/>
          <w:szCs w:val="22"/>
          <w:lang w:val="en-GB"/>
        </w:rPr>
        <w:t xml:space="preserve">seeks to foster a financial ecosystem that </w:t>
      </w:r>
      <w:r w:rsidR="00462ED9" w:rsidRPr="00EC1B14">
        <w:rPr>
          <w:rFonts w:ascii="Arial" w:hAnsi="Arial" w:cs="Arial"/>
          <w:sz w:val="22"/>
          <w:szCs w:val="22"/>
          <w:lang w:val="en-GB"/>
        </w:rPr>
        <w:t xml:space="preserve">manages </w:t>
      </w:r>
      <w:r w:rsidR="00F722F8" w:rsidRPr="00EC1B14">
        <w:rPr>
          <w:rFonts w:ascii="Arial" w:hAnsi="Arial" w:cs="Arial"/>
          <w:sz w:val="22"/>
          <w:szCs w:val="22"/>
          <w:lang w:val="en-GB"/>
        </w:rPr>
        <w:t xml:space="preserve">environmental and social </w:t>
      </w:r>
      <w:r w:rsidR="00462ED9" w:rsidRPr="00EC1B14">
        <w:rPr>
          <w:rFonts w:ascii="Arial" w:hAnsi="Arial" w:cs="Arial"/>
          <w:sz w:val="22"/>
          <w:szCs w:val="22"/>
          <w:lang w:val="en-GB"/>
        </w:rPr>
        <w:t>risks and</w:t>
      </w:r>
      <w:r w:rsidR="00976B6A" w:rsidRPr="00EC1B14">
        <w:rPr>
          <w:rFonts w:ascii="Arial" w:hAnsi="Arial" w:cs="Arial"/>
          <w:sz w:val="22"/>
          <w:szCs w:val="22"/>
          <w:lang w:val="en-GB"/>
        </w:rPr>
        <w:t xml:space="preserve"> identifies opportunities arising from sustainable practices.</w:t>
      </w:r>
    </w:p>
    <w:p w14:paraId="0570809A" w14:textId="117C58F0" w:rsidR="00462ED9" w:rsidRPr="00EC1B14" w:rsidRDefault="00F722F8" w:rsidP="00F722F8">
      <w:pPr>
        <w:pStyle w:val="yiv9813466779msonormal"/>
        <w:shd w:val="clear" w:color="auto" w:fill="FFFFFF"/>
        <w:spacing w:before="120" w:beforeAutospacing="0" w:afterLines="120" w:after="288" w:afterAutospacing="0"/>
        <w:jc w:val="both"/>
        <w:rPr>
          <w:rFonts w:ascii="Arial" w:hAnsi="Arial" w:cs="Arial"/>
          <w:sz w:val="22"/>
          <w:szCs w:val="22"/>
          <w:lang w:val="en-GB"/>
        </w:rPr>
        <w:sectPr w:rsidR="00462ED9" w:rsidRPr="00EC1B14" w:rsidSect="00CF021E">
          <w:pgSz w:w="11906" w:h="16838"/>
          <w:pgMar w:top="1440" w:right="1440" w:bottom="1440" w:left="1440" w:header="475" w:footer="716" w:gutter="0"/>
          <w:cols w:space="708"/>
          <w:docGrid w:linePitch="360"/>
        </w:sectPr>
      </w:pPr>
      <w:r w:rsidRPr="00EC1B14">
        <w:rPr>
          <w:rFonts w:ascii="Arial" w:hAnsi="Arial" w:cs="Arial"/>
          <w:sz w:val="22"/>
          <w:szCs w:val="22"/>
          <w:lang w:val="en-GB"/>
        </w:rPr>
        <w:t xml:space="preserve">The Central Bank of </w:t>
      </w:r>
      <w:r w:rsidR="00976B6A" w:rsidRPr="00EC1B14">
        <w:rPr>
          <w:rFonts w:ascii="Arial" w:hAnsi="Arial" w:cs="Arial"/>
          <w:sz w:val="22"/>
          <w:szCs w:val="22"/>
          <w:lang w:val="en-GB"/>
        </w:rPr>
        <w:t xml:space="preserve">Kenya's engagement with the Network for Greening the Financial System (NGFS), </w:t>
      </w:r>
      <w:r w:rsidR="00857F61" w:rsidRPr="00EC1B14">
        <w:rPr>
          <w:rFonts w:ascii="Arial" w:hAnsi="Arial" w:cs="Arial"/>
          <w:sz w:val="22"/>
          <w:szCs w:val="22"/>
          <w:lang w:val="en-GB"/>
        </w:rPr>
        <w:t xml:space="preserve">which supports scenario analysis, </w:t>
      </w:r>
      <w:r w:rsidR="00976B6A" w:rsidRPr="00EC1B14">
        <w:rPr>
          <w:rFonts w:ascii="Arial" w:hAnsi="Arial" w:cs="Arial"/>
          <w:sz w:val="22"/>
          <w:szCs w:val="22"/>
          <w:lang w:val="en-GB"/>
        </w:rPr>
        <w:t xml:space="preserve">showcases a commitment to informed decision-making. Whether adopting NGFS principles or developing bespoke scenario analysis frameworks, </w:t>
      </w:r>
      <w:r w:rsidRPr="00EC1B14">
        <w:rPr>
          <w:rFonts w:ascii="Arial" w:hAnsi="Arial" w:cs="Arial"/>
          <w:sz w:val="22"/>
          <w:szCs w:val="22"/>
          <w:lang w:val="en-GB"/>
        </w:rPr>
        <w:t>t</w:t>
      </w:r>
      <w:r w:rsidR="00857F61" w:rsidRPr="00EC1B14">
        <w:rPr>
          <w:rFonts w:ascii="Arial" w:hAnsi="Arial" w:cs="Arial"/>
          <w:sz w:val="22"/>
          <w:szCs w:val="22"/>
          <w:lang w:val="en-GB"/>
        </w:rPr>
        <w:t xml:space="preserve">he Central Bank of </w:t>
      </w:r>
      <w:r w:rsidR="00976B6A" w:rsidRPr="00EC1B14">
        <w:rPr>
          <w:rFonts w:ascii="Arial" w:hAnsi="Arial" w:cs="Arial"/>
          <w:sz w:val="22"/>
          <w:szCs w:val="22"/>
          <w:lang w:val="en-GB"/>
        </w:rPr>
        <w:t xml:space="preserve">Kenya aims </w:t>
      </w:r>
      <w:r w:rsidR="00373420" w:rsidRPr="00EC1B14">
        <w:rPr>
          <w:rFonts w:ascii="Arial" w:hAnsi="Arial" w:cs="Arial"/>
          <w:sz w:val="22"/>
          <w:szCs w:val="22"/>
          <w:lang w:val="en-GB"/>
        </w:rPr>
        <w:t xml:space="preserve">to </w:t>
      </w:r>
      <w:r w:rsidR="00D36A16" w:rsidRPr="00EC1B14">
        <w:rPr>
          <w:rFonts w:ascii="Arial" w:hAnsi="Arial" w:cs="Arial"/>
          <w:sz w:val="22"/>
          <w:szCs w:val="22"/>
          <w:lang w:val="en-GB"/>
        </w:rPr>
        <w:t xml:space="preserve">comprehensively </w:t>
      </w:r>
      <w:r w:rsidR="00857F61" w:rsidRPr="00EC1B14">
        <w:rPr>
          <w:rFonts w:ascii="Arial" w:hAnsi="Arial" w:cs="Arial"/>
          <w:sz w:val="22"/>
          <w:szCs w:val="22"/>
          <w:lang w:val="en-GB"/>
        </w:rPr>
        <w:t xml:space="preserve">support the </w:t>
      </w:r>
      <w:r w:rsidR="00D36A16" w:rsidRPr="00EC1B14">
        <w:rPr>
          <w:rFonts w:ascii="Arial" w:hAnsi="Arial" w:cs="Arial"/>
          <w:sz w:val="22"/>
          <w:szCs w:val="22"/>
          <w:lang w:val="en-GB"/>
        </w:rPr>
        <w:t>assess</w:t>
      </w:r>
      <w:r w:rsidR="00857F61" w:rsidRPr="00EC1B14">
        <w:rPr>
          <w:rFonts w:ascii="Arial" w:hAnsi="Arial" w:cs="Arial"/>
          <w:sz w:val="22"/>
          <w:szCs w:val="22"/>
          <w:lang w:val="en-GB"/>
        </w:rPr>
        <w:t>ment of</w:t>
      </w:r>
      <w:r w:rsidR="00D36A16" w:rsidRPr="00EC1B14">
        <w:rPr>
          <w:rFonts w:ascii="Arial" w:hAnsi="Arial" w:cs="Arial"/>
          <w:sz w:val="22"/>
          <w:szCs w:val="22"/>
          <w:lang w:val="en-GB"/>
        </w:rPr>
        <w:t xml:space="preserve"> physical and  transition risks in </w:t>
      </w:r>
      <w:r w:rsidRPr="00EC1B14">
        <w:rPr>
          <w:rFonts w:ascii="Arial" w:hAnsi="Arial" w:cs="Arial"/>
          <w:sz w:val="22"/>
          <w:szCs w:val="22"/>
          <w:lang w:val="en-GB"/>
        </w:rPr>
        <w:t>the banking</w:t>
      </w:r>
      <w:r w:rsidR="00D36A16" w:rsidRPr="00EC1B14">
        <w:rPr>
          <w:rFonts w:ascii="Arial" w:hAnsi="Arial" w:cs="Arial"/>
          <w:sz w:val="22"/>
          <w:szCs w:val="22"/>
          <w:lang w:val="en-GB"/>
        </w:rPr>
        <w:t xml:space="preserve"> sector</w:t>
      </w:r>
      <w:r w:rsidRPr="00EC1B14">
        <w:rPr>
          <w:rFonts w:ascii="Arial" w:hAnsi="Arial" w:cs="Arial"/>
          <w:sz w:val="22"/>
          <w:szCs w:val="22"/>
          <w:lang w:val="en-GB"/>
        </w:rPr>
        <w:t xml:space="preserve"> and</w:t>
      </w:r>
      <w:r w:rsidR="00976B6A" w:rsidRPr="00EC1B14">
        <w:rPr>
          <w:rFonts w:ascii="Arial" w:hAnsi="Arial" w:cs="Arial"/>
          <w:sz w:val="22"/>
          <w:szCs w:val="22"/>
          <w:lang w:val="en-GB"/>
        </w:rPr>
        <w:t xml:space="preserve"> reflects a commitment to ensuring the long-term viability of </w:t>
      </w:r>
      <w:r w:rsidRPr="00EC1B14">
        <w:rPr>
          <w:rFonts w:ascii="Arial" w:hAnsi="Arial" w:cs="Arial"/>
          <w:sz w:val="22"/>
          <w:szCs w:val="22"/>
          <w:lang w:val="en-GB"/>
        </w:rPr>
        <w:t>the sector</w:t>
      </w:r>
      <w:r w:rsidR="00976B6A" w:rsidRPr="00EC1B14">
        <w:rPr>
          <w:rFonts w:ascii="Arial" w:hAnsi="Arial" w:cs="Arial"/>
          <w:sz w:val="22"/>
          <w:szCs w:val="22"/>
          <w:lang w:val="en-GB"/>
        </w:rPr>
        <w:t xml:space="preserve"> in the face of a changing climate landscap</w:t>
      </w:r>
      <w:r w:rsidR="007874A4" w:rsidRPr="00EC1B14">
        <w:rPr>
          <w:rFonts w:ascii="Arial" w:hAnsi="Arial" w:cs="Arial"/>
          <w:sz w:val="22"/>
          <w:szCs w:val="22"/>
          <w:lang w:val="en-GB"/>
        </w:rPr>
        <w:t>e</w:t>
      </w:r>
      <w:r w:rsidR="002E0886" w:rsidRPr="00EC1B14">
        <w:rPr>
          <w:rFonts w:ascii="Arial" w:hAnsi="Arial" w:cs="Arial"/>
          <w:sz w:val="22"/>
          <w:szCs w:val="22"/>
          <w:lang w:val="en-GB"/>
        </w:rPr>
        <w:t>.</w:t>
      </w:r>
    </w:p>
    <w:p w14:paraId="7D8C8393" w14:textId="77777777" w:rsidR="00AE4790" w:rsidRPr="00EC1B14" w:rsidRDefault="00AE4790" w:rsidP="00D25F24">
      <w:pPr>
        <w:pStyle w:val="Heading1"/>
        <w:numPr>
          <w:ilvl w:val="0"/>
          <w:numId w:val="9"/>
        </w:numPr>
        <w:spacing w:before="100" w:beforeAutospacing="1" w:after="100" w:afterAutospacing="1" w:line="240" w:lineRule="auto"/>
        <w:rPr>
          <w:rFonts w:ascii="Arial" w:hAnsi="Arial" w:cs="Arial"/>
          <w:b/>
          <w:bCs/>
          <w:color w:val="auto"/>
          <w:sz w:val="26"/>
          <w:szCs w:val="26"/>
        </w:rPr>
      </w:pPr>
      <w:bookmarkStart w:id="49" w:name="_Toc159248363"/>
      <w:bookmarkStart w:id="50" w:name="_Toc171907006"/>
      <w:bookmarkEnd w:id="0"/>
      <w:r w:rsidRPr="00EC1B14">
        <w:rPr>
          <w:rFonts w:ascii="Arial" w:hAnsi="Arial" w:cs="Arial"/>
          <w:b/>
          <w:bCs/>
          <w:color w:val="auto"/>
          <w:sz w:val="26"/>
          <w:szCs w:val="26"/>
        </w:rPr>
        <w:t>Bibliography</w:t>
      </w:r>
      <w:bookmarkEnd w:id="49"/>
      <w:bookmarkEnd w:id="50"/>
    </w:p>
    <w:p w14:paraId="12A0AC52" w14:textId="7FB4A32D" w:rsidR="00AE4790" w:rsidRPr="00EC1B14" w:rsidRDefault="00AE4790" w:rsidP="00D25F24">
      <w:pPr>
        <w:spacing w:line="240" w:lineRule="auto"/>
        <w:rPr>
          <w:rFonts w:ascii="Arial" w:hAnsi="Arial" w:cs="Arial"/>
          <w:b/>
          <w:bCs/>
        </w:rPr>
      </w:pPr>
      <w:r w:rsidRPr="00EC1B14">
        <w:rPr>
          <w:rFonts w:ascii="Arial" w:hAnsi="Arial" w:cs="Arial"/>
          <w:b/>
          <w:bCs/>
        </w:rPr>
        <w:t>Reports/Periodicals/Journals</w:t>
      </w:r>
    </w:p>
    <w:p w14:paraId="74B3E55C" w14:textId="77777777" w:rsidR="00692BBB" w:rsidRPr="00EC1B14" w:rsidRDefault="00692BBB" w:rsidP="00692BBB">
      <w:pPr>
        <w:pStyle w:val="ListParagraph"/>
        <w:numPr>
          <w:ilvl w:val="0"/>
          <w:numId w:val="5"/>
        </w:numPr>
        <w:spacing w:line="240" w:lineRule="auto"/>
        <w:jc w:val="both"/>
        <w:rPr>
          <w:rFonts w:ascii="Arial" w:hAnsi="Arial" w:cs="Arial"/>
        </w:rPr>
      </w:pPr>
      <w:r w:rsidRPr="00EC1B14">
        <w:rPr>
          <w:rFonts w:ascii="Arial" w:hAnsi="Arial" w:cs="Arial"/>
        </w:rPr>
        <w:t xml:space="preserve">Africa Climate Foundation. 2023. </w:t>
      </w:r>
      <w:hyperlink r:id="rId35" w:history="1">
        <w:r w:rsidRPr="00EC1B14">
          <w:rPr>
            <w:rStyle w:val="Hyperlink"/>
            <w:rFonts w:ascii="Arial" w:hAnsi="Arial" w:cs="Arial"/>
          </w:rPr>
          <w:t>Implications for Africa of a CBAM in the EU</w:t>
        </w:r>
      </w:hyperlink>
      <w:r w:rsidRPr="00EC1B14">
        <w:rPr>
          <w:rFonts w:ascii="Arial" w:hAnsi="Arial" w:cs="Arial"/>
        </w:rPr>
        <w:t xml:space="preserve">. </w:t>
      </w:r>
    </w:p>
    <w:p w14:paraId="38FF7A77" w14:textId="6FA17893" w:rsidR="00AE4790" w:rsidRPr="00EC1B14" w:rsidRDefault="00AE4790" w:rsidP="00D25F24">
      <w:pPr>
        <w:pStyle w:val="ListParagraph"/>
        <w:numPr>
          <w:ilvl w:val="0"/>
          <w:numId w:val="5"/>
        </w:numPr>
        <w:spacing w:line="240" w:lineRule="auto"/>
        <w:jc w:val="both"/>
        <w:rPr>
          <w:rStyle w:val="Emphasis"/>
          <w:rFonts w:ascii="Arial" w:hAnsi="Arial" w:cs="Arial"/>
          <w:i w:val="0"/>
          <w:iCs w:val="0"/>
        </w:rPr>
      </w:pPr>
      <w:r w:rsidRPr="00EC1B14">
        <w:rPr>
          <w:rStyle w:val="Emphasis"/>
          <w:rFonts w:ascii="Arial" w:hAnsi="Arial" w:cs="Arial"/>
          <w:i w:val="0"/>
          <w:iCs w:val="0"/>
        </w:rPr>
        <w:t>Central Bank of Kenya. (2021)</w:t>
      </w:r>
      <w:r w:rsidRPr="00EC1B14">
        <w:rPr>
          <w:rStyle w:val="Emphasis"/>
          <w:rFonts w:ascii="Arial" w:hAnsi="Arial" w:cs="Arial"/>
        </w:rPr>
        <w:t xml:space="preserve">. </w:t>
      </w:r>
      <w:r w:rsidRPr="00EC1B14">
        <w:rPr>
          <w:rFonts w:ascii="Arial" w:hAnsi="Arial" w:cs="Arial"/>
          <w:i/>
          <w:iCs/>
        </w:rPr>
        <w:t>Guidance on Climate-related Risk Management</w:t>
      </w:r>
      <w:r w:rsidRPr="00EC1B14">
        <w:rPr>
          <w:rFonts w:ascii="Arial" w:hAnsi="Arial" w:cs="Arial"/>
        </w:rPr>
        <w:t xml:space="preserve">. </w:t>
      </w:r>
      <w:hyperlink r:id="rId36" w:history="1">
        <w:r w:rsidRPr="00EC1B14">
          <w:rPr>
            <w:rFonts w:ascii="Arial" w:hAnsi="Arial" w:cs="Arial"/>
            <w:color w:val="0000FF"/>
            <w:u w:val="single"/>
          </w:rPr>
          <w:t>Guidance-on-</w:t>
        </w:r>
        <w:r w:rsidR="00D36A16" w:rsidRPr="00EC1B14">
          <w:rPr>
            <w:rFonts w:ascii="Arial" w:hAnsi="Arial" w:cs="Arial"/>
            <w:color w:val="0000FF"/>
            <w:u w:val="single"/>
          </w:rPr>
          <w:t>Climate-Related</w:t>
        </w:r>
        <w:r w:rsidRPr="00EC1B14">
          <w:rPr>
            <w:rFonts w:ascii="Arial" w:hAnsi="Arial" w:cs="Arial"/>
            <w:color w:val="0000FF"/>
            <w:u w:val="single"/>
          </w:rPr>
          <w:t>-Risk-Management.pdf (centralbank.go.ke)</w:t>
        </w:r>
      </w:hyperlink>
    </w:p>
    <w:p w14:paraId="3C09F54E" w14:textId="77777777" w:rsidR="00AE4790" w:rsidRPr="00EC1B14" w:rsidRDefault="00AE4790" w:rsidP="00D25F24">
      <w:pPr>
        <w:pStyle w:val="ListParagraph"/>
        <w:numPr>
          <w:ilvl w:val="0"/>
          <w:numId w:val="5"/>
        </w:numPr>
        <w:spacing w:line="240" w:lineRule="auto"/>
        <w:jc w:val="both"/>
        <w:rPr>
          <w:rFonts w:ascii="Arial" w:hAnsi="Arial" w:cs="Arial"/>
        </w:rPr>
      </w:pPr>
      <w:r w:rsidRPr="00EC1B14">
        <w:rPr>
          <w:rStyle w:val="Emphasis"/>
          <w:rFonts w:ascii="Arial" w:hAnsi="Arial" w:cs="Arial"/>
        </w:rPr>
        <w:t xml:space="preserve">European Banking Authority. (2021). Mapping Climate Risk: Main findings from the EU-wide pilot exercise. </w:t>
      </w:r>
      <w:hyperlink r:id="rId37" w:history="1">
        <w:r w:rsidRPr="00EC1B14">
          <w:rPr>
            <w:rStyle w:val="Hyperlink"/>
            <w:rFonts w:ascii="Arial" w:hAnsi="Arial" w:cs="Arial"/>
          </w:rPr>
          <w:t>Mapping climate risk: Main findings from the EU-wide pilot exercise (europa.eu)</w:t>
        </w:r>
      </w:hyperlink>
    </w:p>
    <w:p w14:paraId="1A0C45E9" w14:textId="1289A538" w:rsidR="001E494C" w:rsidRPr="00EC1B14" w:rsidRDefault="001E494C" w:rsidP="00D25F24">
      <w:pPr>
        <w:pStyle w:val="ListParagraph"/>
        <w:numPr>
          <w:ilvl w:val="0"/>
          <w:numId w:val="5"/>
        </w:numPr>
        <w:spacing w:line="240" w:lineRule="auto"/>
        <w:jc w:val="both"/>
        <w:rPr>
          <w:rFonts w:ascii="Arial" w:hAnsi="Arial" w:cs="Arial"/>
        </w:rPr>
      </w:pPr>
      <w:r w:rsidRPr="00EC1B14">
        <w:rPr>
          <w:rFonts w:ascii="Arial" w:hAnsi="Arial" w:cs="Arial"/>
        </w:rPr>
        <w:t xml:space="preserve">Africa Climate Foundation. 2023. </w:t>
      </w:r>
      <w:hyperlink r:id="rId38" w:history="1">
        <w:r w:rsidRPr="00EC1B14">
          <w:rPr>
            <w:rStyle w:val="Hyperlink"/>
            <w:rFonts w:ascii="Arial" w:hAnsi="Arial" w:cs="Arial"/>
          </w:rPr>
          <w:t>Implications for Africa of a CBAM in the EU</w:t>
        </w:r>
      </w:hyperlink>
      <w:r w:rsidRPr="00EC1B14">
        <w:rPr>
          <w:rFonts w:ascii="Arial" w:hAnsi="Arial" w:cs="Arial"/>
        </w:rPr>
        <w:t xml:space="preserve">. </w:t>
      </w:r>
    </w:p>
    <w:p w14:paraId="65149583" w14:textId="6462664C" w:rsidR="00AE4790" w:rsidRPr="00EC1B14" w:rsidRDefault="00AE4790" w:rsidP="00D25F24">
      <w:pPr>
        <w:pStyle w:val="ListParagraph"/>
        <w:numPr>
          <w:ilvl w:val="0"/>
          <w:numId w:val="5"/>
        </w:numPr>
        <w:spacing w:line="240" w:lineRule="auto"/>
        <w:jc w:val="both"/>
        <w:rPr>
          <w:rStyle w:val="Emphasis"/>
          <w:rFonts w:ascii="Arial" w:hAnsi="Arial" w:cs="Arial"/>
          <w:i w:val="0"/>
          <w:iCs w:val="0"/>
        </w:rPr>
      </w:pPr>
      <w:r w:rsidRPr="00EC1B14">
        <w:rPr>
          <w:rFonts w:ascii="Arial" w:hAnsi="Arial" w:cs="Arial"/>
        </w:rPr>
        <w:t xml:space="preserve">Intergovernmental Panel on Climate (IPCC) (2014). Summary for policymakers. In: Climate Change 2014: Impacts, Adaptation, and Vulnerability. Part A: Global and Sectoral Aspects. Contribution of Working Group II to the Fifth Assessment Report of the Intergovernmental Panel on Climate Change. </w:t>
      </w:r>
      <w:hyperlink r:id="rId39" w:history="1">
        <w:r w:rsidRPr="00EC1B14">
          <w:rPr>
            <w:rStyle w:val="Hyperlink"/>
            <w:rFonts w:ascii="Arial" w:hAnsi="Arial" w:cs="Arial"/>
          </w:rPr>
          <w:t>Summary for Policymakers (ipcc.ch)</w:t>
        </w:r>
      </w:hyperlink>
    </w:p>
    <w:p w14:paraId="67F024C1" w14:textId="0A49EEED" w:rsidR="00692BBB" w:rsidRPr="00EC1B14" w:rsidRDefault="00692BBB" w:rsidP="00D25F24">
      <w:pPr>
        <w:pStyle w:val="ListParagraph"/>
        <w:numPr>
          <w:ilvl w:val="0"/>
          <w:numId w:val="5"/>
        </w:numPr>
        <w:spacing w:line="240" w:lineRule="auto"/>
        <w:jc w:val="both"/>
        <w:rPr>
          <w:rStyle w:val="Emphasis"/>
          <w:rFonts w:ascii="Arial" w:hAnsi="Arial" w:cs="Arial"/>
          <w:i w:val="0"/>
          <w:iCs w:val="0"/>
        </w:rPr>
      </w:pPr>
      <w:r w:rsidRPr="00EC1B14">
        <w:rPr>
          <w:rFonts w:ascii="Arial" w:hAnsi="Arial" w:cs="Arial"/>
        </w:rPr>
        <w:t xml:space="preserve">Kenya Banker Association (2015), Sustainable Finance Guidelines. </w:t>
      </w:r>
      <w:hyperlink r:id="rId40" w:history="1">
        <w:r w:rsidRPr="00EC1B14">
          <w:rPr>
            <w:rStyle w:val="Hyperlink"/>
            <w:rFonts w:ascii="Arial" w:hAnsi="Arial" w:cs="Arial"/>
          </w:rPr>
          <w:t>https://sfi.kba.co.ke/uploads/sfi-booklet.pdf</w:t>
        </w:r>
      </w:hyperlink>
    </w:p>
    <w:p w14:paraId="70DFFB4D" w14:textId="408275DB" w:rsidR="00013C52" w:rsidRPr="00EC1B14" w:rsidRDefault="00013C52" w:rsidP="00D25F24">
      <w:pPr>
        <w:pStyle w:val="ListParagraph"/>
        <w:numPr>
          <w:ilvl w:val="0"/>
          <w:numId w:val="5"/>
        </w:numPr>
        <w:spacing w:line="240" w:lineRule="auto"/>
        <w:jc w:val="both"/>
        <w:rPr>
          <w:rStyle w:val="Emphasis"/>
          <w:rFonts w:ascii="Arial" w:hAnsi="Arial" w:cs="Arial"/>
          <w:i w:val="0"/>
          <w:iCs w:val="0"/>
        </w:rPr>
      </w:pPr>
      <w:r w:rsidRPr="00EC1B14">
        <w:rPr>
          <w:rStyle w:val="Emphasis"/>
          <w:rFonts w:ascii="Arial" w:hAnsi="Arial" w:cs="Arial"/>
          <w:i w:val="0"/>
          <w:iCs w:val="0"/>
          <w:lang w:val="es-ES"/>
        </w:rPr>
        <w:t xml:space="preserve">Monasterolo, I., Battiston, S., Janetos, A.C. et al. </w:t>
      </w:r>
      <w:r w:rsidRPr="00EC1B14">
        <w:rPr>
          <w:rStyle w:val="Emphasis"/>
          <w:rFonts w:ascii="Arial" w:hAnsi="Arial" w:cs="Arial"/>
          <w:i w:val="0"/>
          <w:iCs w:val="0"/>
        </w:rPr>
        <w:t>Vulnerable yet relevant: the two dimensions of climate-related financial disclosure. Climatic Change 145, 495–507 (2017). https://doi.org/10.1007/s10584-017-2095-9.</w:t>
      </w:r>
    </w:p>
    <w:p w14:paraId="61B8BD2C" w14:textId="469F85E2" w:rsidR="00AE4790" w:rsidRPr="00EC1B14" w:rsidRDefault="00AE4790" w:rsidP="00D25F24">
      <w:pPr>
        <w:pStyle w:val="ListParagraph"/>
        <w:numPr>
          <w:ilvl w:val="0"/>
          <w:numId w:val="5"/>
        </w:numPr>
        <w:spacing w:line="240" w:lineRule="auto"/>
        <w:jc w:val="both"/>
        <w:rPr>
          <w:rFonts w:ascii="Arial" w:hAnsi="Arial" w:cs="Arial"/>
        </w:rPr>
      </w:pPr>
      <w:r w:rsidRPr="00EC1B14">
        <w:rPr>
          <w:rStyle w:val="Emphasis"/>
          <w:rFonts w:ascii="Arial" w:hAnsi="Arial" w:cs="Arial"/>
          <w:shd w:val="clear" w:color="auto" w:fill="FFFFFF"/>
        </w:rPr>
        <w:t>Kenya Climate Change Act 2023</w:t>
      </w:r>
      <w:r w:rsidRPr="00EC1B14">
        <w:rPr>
          <w:rFonts w:ascii="Arial" w:hAnsi="Arial" w:cs="Arial"/>
          <w:shd w:val="clear" w:color="auto" w:fill="FFFFFF"/>
        </w:rPr>
        <w:t xml:space="preserve"> (Amended). </w:t>
      </w:r>
      <w:hyperlink r:id="rId41" w:history="1">
        <w:r w:rsidRPr="00EC1B14">
          <w:rPr>
            <w:rFonts w:ascii="Arial" w:hAnsi="Arial" w:cs="Arial"/>
            <w:color w:val="0000FF"/>
            <w:u w:val="single"/>
          </w:rPr>
          <w:t>TheClimateChange_Amendment_Act_No.9of2023.pdf (kenyalaw.org)</w:t>
        </w:r>
      </w:hyperlink>
    </w:p>
    <w:p w14:paraId="073E211F" w14:textId="77777777" w:rsidR="00AE4790" w:rsidRPr="00EC1B14" w:rsidRDefault="00AE4790" w:rsidP="00D25F24">
      <w:pPr>
        <w:pStyle w:val="ListParagraph"/>
        <w:numPr>
          <w:ilvl w:val="0"/>
          <w:numId w:val="5"/>
        </w:numPr>
        <w:spacing w:line="240" w:lineRule="auto"/>
        <w:jc w:val="both"/>
        <w:rPr>
          <w:rFonts w:ascii="Arial" w:hAnsi="Arial" w:cs="Arial"/>
        </w:rPr>
      </w:pPr>
      <w:r w:rsidRPr="00EC1B14">
        <w:rPr>
          <w:rFonts w:ascii="Arial" w:hAnsi="Arial" w:cs="Arial"/>
        </w:rPr>
        <w:t>Ministry of Environment and Forestry (NEMA</w:t>
      </w:r>
      <w:r w:rsidRPr="00EC1B14">
        <w:rPr>
          <w:rFonts w:ascii="Arial" w:hAnsi="Arial" w:cs="Arial"/>
          <w:i/>
          <w:iCs/>
        </w:rPr>
        <w:t>)</w:t>
      </w:r>
      <w:r w:rsidRPr="00EC1B14">
        <w:rPr>
          <w:rFonts w:ascii="Arial" w:hAnsi="Arial" w:cs="Arial"/>
        </w:rPr>
        <w:t>.</w:t>
      </w:r>
      <w:r w:rsidRPr="00EC1B14">
        <w:rPr>
          <w:rFonts w:ascii="Arial" w:hAnsi="Arial" w:cs="Arial"/>
          <w:i/>
          <w:iCs/>
        </w:rPr>
        <w:t xml:space="preserve"> </w:t>
      </w:r>
      <w:r w:rsidRPr="00EC1B14">
        <w:rPr>
          <w:rFonts w:ascii="Arial" w:hAnsi="Arial" w:cs="Arial"/>
        </w:rPr>
        <w:t>(2020)</w:t>
      </w:r>
      <w:r w:rsidRPr="00EC1B14">
        <w:rPr>
          <w:rFonts w:ascii="Arial" w:hAnsi="Arial" w:cs="Arial"/>
          <w:i/>
          <w:iCs/>
        </w:rPr>
        <w:t>. Kenya Amended Nationally Determined Contributions (NDC’s)</w:t>
      </w:r>
      <w:r w:rsidRPr="00EC1B14">
        <w:rPr>
          <w:rFonts w:ascii="Arial" w:hAnsi="Arial" w:cs="Arial"/>
        </w:rPr>
        <w:t xml:space="preserve">. The Government of Kenya. </w:t>
      </w:r>
      <w:hyperlink r:id="rId42" w:history="1">
        <w:r w:rsidRPr="00EC1B14">
          <w:rPr>
            <w:rStyle w:val="Hyperlink"/>
            <w:rFonts w:ascii="Arial" w:hAnsi="Arial" w:cs="Arial"/>
          </w:rPr>
          <w:t>KEN210108.pdf (fao.org)</w:t>
        </w:r>
      </w:hyperlink>
    </w:p>
    <w:p w14:paraId="75895775" w14:textId="693FAEE1" w:rsidR="00AE4790" w:rsidRPr="00EC1B14" w:rsidRDefault="00AE4790" w:rsidP="00D25F24">
      <w:pPr>
        <w:pStyle w:val="ListParagraph"/>
        <w:numPr>
          <w:ilvl w:val="0"/>
          <w:numId w:val="5"/>
        </w:numPr>
        <w:spacing w:line="240" w:lineRule="auto"/>
        <w:jc w:val="both"/>
        <w:rPr>
          <w:rStyle w:val="Hyperlink"/>
          <w:rFonts w:ascii="Arial" w:hAnsi="Arial" w:cs="Arial"/>
          <w:color w:val="auto"/>
          <w:u w:val="none"/>
        </w:rPr>
      </w:pPr>
      <w:r w:rsidRPr="00EC1B14">
        <w:rPr>
          <w:rFonts w:ascii="Arial" w:hAnsi="Arial" w:cs="Arial"/>
        </w:rPr>
        <w:t>Mwangi, Kenneth and Mutua, Felix. (2015). Mode</w:t>
      </w:r>
      <w:r w:rsidR="002E0886" w:rsidRPr="00EC1B14">
        <w:rPr>
          <w:rFonts w:ascii="Arial" w:hAnsi="Arial" w:cs="Arial"/>
        </w:rPr>
        <w:t>l</w:t>
      </w:r>
      <w:r w:rsidRPr="00EC1B14">
        <w:rPr>
          <w:rFonts w:ascii="Arial" w:hAnsi="Arial" w:cs="Arial"/>
        </w:rPr>
        <w:t xml:space="preserve">ling Kenya’s Vulnerability to Climate Change – A Multifactor Approach. </w:t>
      </w:r>
      <w:r w:rsidRPr="00EC1B14">
        <w:rPr>
          <w:rFonts w:ascii="Arial" w:hAnsi="Arial" w:cs="Arial"/>
          <w:i/>
          <w:iCs/>
        </w:rPr>
        <w:t>International Journal of Science and Research (IJSR)</w:t>
      </w:r>
      <w:r w:rsidRPr="00EC1B14">
        <w:rPr>
          <w:rFonts w:ascii="Arial" w:hAnsi="Arial" w:cs="Arial"/>
        </w:rPr>
        <w:t xml:space="preserve"> 4 (6). </w:t>
      </w:r>
      <w:hyperlink r:id="rId43" w:history="1">
        <w:r w:rsidR="002E0886" w:rsidRPr="00EC1B14">
          <w:rPr>
            <w:rStyle w:val="Hyperlink"/>
            <w:rFonts w:ascii="Arial" w:hAnsi="Arial" w:cs="Arial"/>
          </w:rPr>
          <w:t>Modelling Kenya’s Vulnerability to Climate Change – A Multifactor Approach (ijsr.net)</w:t>
        </w:r>
      </w:hyperlink>
    </w:p>
    <w:p w14:paraId="30ED225C" w14:textId="77777777" w:rsidR="00AE4790" w:rsidRPr="00EC1B14" w:rsidRDefault="00AE4790" w:rsidP="00D25F24">
      <w:pPr>
        <w:pStyle w:val="ListParagraph"/>
        <w:numPr>
          <w:ilvl w:val="0"/>
          <w:numId w:val="5"/>
        </w:numPr>
        <w:spacing w:line="240" w:lineRule="auto"/>
        <w:jc w:val="both"/>
        <w:rPr>
          <w:rStyle w:val="Hyperlink"/>
          <w:rFonts w:ascii="Arial" w:hAnsi="Arial" w:cs="Arial"/>
          <w:color w:val="auto"/>
          <w:u w:val="none"/>
        </w:rPr>
      </w:pPr>
      <w:r w:rsidRPr="00EC1B14">
        <w:rPr>
          <w:rFonts w:ascii="Arial" w:hAnsi="Arial" w:cs="Arial"/>
        </w:rPr>
        <w:t>National Environment Management Authority (NEMA</w:t>
      </w:r>
      <w:r w:rsidRPr="00EC1B14">
        <w:rPr>
          <w:rFonts w:ascii="Arial" w:hAnsi="Arial" w:cs="Arial"/>
          <w:i/>
          <w:iCs/>
        </w:rPr>
        <w:t>)</w:t>
      </w:r>
      <w:r w:rsidRPr="00EC1B14">
        <w:rPr>
          <w:rFonts w:ascii="Arial" w:hAnsi="Arial" w:cs="Arial"/>
        </w:rPr>
        <w:t>.</w:t>
      </w:r>
      <w:r w:rsidRPr="00EC1B14">
        <w:rPr>
          <w:rFonts w:ascii="Arial" w:hAnsi="Arial" w:cs="Arial"/>
          <w:i/>
          <w:iCs/>
        </w:rPr>
        <w:t xml:space="preserve"> </w:t>
      </w:r>
      <w:r w:rsidRPr="00EC1B14">
        <w:rPr>
          <w:rFonts w:ascii="Arial" w:hAnsi="Arial" w:cs="Arial"/>
        </w:rPr>
        <w:t>(2015)</w:t>
      </w:r>
      <w:r w:rsidRPr="00EC1B14">
        <w:rPr>
          <w:rFonts w:ascii="Arial" w:hAnsi="Arial" w:cs="Arial"/>
          <w:i/>
          <w:iCs/>
        </w:rPr>
        <w:t>. Kenya Second National Communication to the United Nations Framework Convention on Climate Change</w:t>
      </w:r>
      <w:r w:rsidRPr="00EC1B14">
        <w:rPr>
          <w:rFonts w:ascii="Arial" w:hAnsi="Arial" w:cs="Arial"/>
        </w:rPr>
        <w:t xml:space="preserve">. The Government of Kenya. </w:t>
      </w:r>
      <w:hyperlink r:id="rId44" w:history="1">
        <w:r w:rsidRPr="00EC1B14">
          <w:rPr>
            <w:rStyle w:val="Hyperlink"/>
            <w:rFonts w:ascii="Arial" w:hAnsi="Arial" w:cs="Arial"/>
          </w:rPr>
          <w:t>unfccc.int/resource/docs/natc/kennc2.pdf</w:t>
        </w:r>
      </w:hyperlink>
    </w:p>
    <w:p w14:paraId="144BEAD5" w14:textId="33467EC3" w:rsidR="00AE4790" w:rsidRPr="00EC1B14" w:rsidRDefault="00AE4790" w:rsidP="00D25F24">
      <w:pPr>
        <w:pStyle w:val="ListParagraph"/>
        <w:numPr>
          <w:ilvl w:val="0"/>
          <w:numId w:val="5"/>
        </w:numPr>
        <w:spacing w:line="240" w:lineRule="auto"/>
        <w:jc w:val="both"/>
        <w:rPr>
          <w:rFonts w:ascii="Arial" w:hAnsi="Arial" w:cs="Arial"/>
        </w:rPr>
      </w:pPr>
      <w:r w:rsidRPr="00EC1B14">
        <w:rPr>
          <w:rFonts w:ascii="Arial" w:hAnsi="Arial" w:cs="Arial"/>
        </w:rPr>
        <w:t>The United Kingdom (UK) Government. (2009). The Economics of Climate Change in Kenya:</w:t>
      </w:r>
      <w:r w:rsidR="003E35A7" w:rsidRPr="00EC1B14">
        <w:rPr>
          <w:rFonts w:ascii="Arial" w:hAnsi="Arial" w:cs="Arial"/>
        </w:rPr>
        <w:t xml:space="preserve"> </w:t>
      </w:r>
      <w:r w:rsidRPr="00EC1B14">
        <w:rPr>
          <w:rFonts w:ascii="Arial" w:hAnsi="Arial" w:cs="Arial"/>
        </w:rPr>
        <w:t xml:space="preserve">Final Report submitted in advance of COP15. </w:t>
      </w:r>
      <w:hyperlink r:id="rId45" w:history="1">
        <w:r w:rsidRPr="00EC1B14">
          <w:rPr>
            <w:rStyle w:val="Hyperlink"/>
            <w:rFonts w:ascii="Arial" w:hAnsi="Arial" w:cs="Arial"/>
          </w:rPr>
          <w:t>assets.publishing.service.gov.uk/media/57a08b3eed915d3cfd000c0a/60871-kenya-climatechange1.pdf</w:t>
        </w:r>
      </w:hyperlink>
    </w:p>
    <w:p w14:paraId="3F7CA4D4" w14:textId="4AC0700F" w:rsidR="00AE4790" w:rsidRPr="00EC1B14" w:rsidRDefault="00AE4790" w:rsidP="00D25F24">
      <w:pPr>
        <w:pStyle w:val="ListParagraph"/>
        <w:numPr>
          <w:ilvl w:val="0"/>
          <w:numId w:val="5"/>
        </w:numPr>
        <w:spacing w:line="240" w:lineRule="auto"/>
        <w:jc w:val="both"/>
        <w:rPr>
          <w:rStyle w:val="Hyperlink"/>
          <w:rFonts w:ascii="Arial" w:hAnsi="Arial" w:cs="Arial"/>
          <w:color w:val="auto"/>
          <w:u w:val="none"/>
        </w:rPr>
      </w:pPr>
      <w:r w:rsidRPr="00EC1B14">
        <w:rPr>
          <w:rFonts w:ascii="Arial" w:hAnsi="Arial" w:cs="Arial"/>
        </w:rPr>
        <w:t xml:space="preserve">United Nations Framework Convention on Climate Change (UNFCCC). (2023). </w:t>
      </w:r>
      <w:r w:rsidRPr="00EC1B14">
        <w:rPr>
          <w:rFonts w:ascii="Arial" w:hAnsi="Arial" w:cs="Arial"/>
          <w:i/>
          <w:iCs/>
        </w:rPr>
        <w:t>Climate-Impacted Loss and Damage in Kenya</w:t>
      </w:r>
      <w:r w:rsidRPr="00EC1B14">
        <w:rPr>
          <w:rFonts w:ascii="Arial" w:hAnsi="Arial" w:cs="Arial"/>
        </w:rPr>
        <w:t xml:space="preserve">. </w:t>
      </w:r>
      <w:hyperlink r:id="rId46" w:history="1">
        <w:r w:rsidRPr="00EC1B14">
          <w:rPr>
            <w:rStyle w:val="Hyperlink"/>
            <w:rFonts w:ascii="Arial" w:hAnsi="Arial" w:cs="Arial"/>
          </w:rPr>
          <w:t>Climate-Impacted Loss and Damage in Kenya | UNFCCC</w:t>
        </w:r>
      </w:hyperlink>
    </w:p>
    <w:p w14:paraId="2BCC1C61" w14:textId="66E365CE" w:rsidR="00AE4790" w:rsidRPr="00EC1B14" w:rsidRDefault="00AE4790" w:rsidP="00D25F24">
      <w:pPr>
        <w:pStyle w:val="ListParagraph"/>
        <w:numPr>
          <w:ilvl w:val="0"/>
          <w:numId w:val="5"/>
        </w:numPr>
        <w:spacing w:line="240" w:lineRule="auto"/>
        <w:jc w:val="both"/>
        <w:rPr>
          <w:rFonts w:ascii="Arial" w:hAnsi="Arial" w:cs="Arial"/>
        </w:rPr>
      </w:pPr>
      <w:r w:rsidRPr="00EC1B14">
        <w:rPr>
          <w:rFonts w:ascii="Arial" w:hAnsi="Arial" w:cs="Arial"/>
        </w:rPr>
        <w:t xml:space="preserve">United Nations Framework Convention on Climate Change (UNFCCC). (2015). </w:t>
      </w:r>
      <w:r w:rsidRPr="00EC1B14">
        <w:rPr>
          <w:rFonts w:ascii="Arial" w:hAnsi="Arial" w:cs="Arial"/>
          <w:i/>
          <w:iCs/>
        </w:rPr>
        <w:t xml:space="preserve">Kenya National Adaptation </w:t>
      </w:r>
      <w:r w:rsidR="00796CAB" w:rsidRPr="00EC1B14">
        <w:rPr>
          <w:rFonts w:ascii="Arial" w:hAnsi="Arial" w:cs="Arial"/>
          <w:i/>
          <w:iCs/>
        </w:rPr>
        <w:t>Plan</w:t>
      </w:r>
      <w:r w:rsidRPr="00EC1B14">
        <w:rPr>
          <w:rFonts w:ascii="Arial" w:hAnsi="Arial" w:cs="Arial"/>
          <w:i/>
          <w:iCs/>
        </w:rPr>
        <w:t xml:space="preserve"> 2015 – 2030</w:t>
      </w:r>
      <w:r w:rsidRPr="00EC1B14">
        <w:rPr>
          <w:rFonts w:ascii="Arial" w:hAnsi="Arial" w:cs="Arial"/>
        </w:rPr>
        <w:t>.</w:t>
      </w:r>
      <w:r w:rsidR="00796CAB" w:rsidRPr="00EC1B14">
        <w:rPr>
          <w:rFonts w:ascii="Arial" w:hAnsi="Arial" w:cs="Arial"/>
        </w:rPr>
        <w:t xml:space="preserve"> </w:t>
      </w:r>
      <w:r w:rsidRPr="00EC1B14">
        <w:rPr>
          <w:rFonts w:ascii="Arial" w:hAnsi="Arial" w:cs="Arial"/>
        </w:rPr>
        <w:t xml:space="preserve"> </w:t>
      </w:r>
      <w:hyperlink r:id="rId47" w:history="1">
        <w:r w:rsidRPr="00EC1B14">
          <w:rPr>
            <w:rFonts w:ascii="Arial" w:hAnsi="Arial" w:cs="Arial"/>
            <w:color w:val="0000FF"/>
            <w:u w:val="single"/>
          </w:rPr>
          <w:t>unfccc.int/sites/default/files/resource/Kenya_NAP.pdf</w:t>
        </w:r>
      </w:hyperlink>
    </w:p>
    <w:p w14:paraId="50697407" w14:textId="77777777" w:rsidR="00AE4790" w:rsidRPr="00EC1B14" w:rsidRDefault="00AE4790" w:rsidP="00D25F24">
      <w:pPr>
        <w:pStyle w:val="ListParagraph"/>
        <w:numPr>
          <w:ilvl w:val="0"/>
          <w:numId w:val="5"/>
        </w:numPr>
        <w:spacing w:line="240" w:lineRule="auto"/>
        <w:jc w:val="both"/>
        <w:rPr>
          <w:rStyle w:val="Hyperlink"/>
          <w:rFonts w:ascii="Arial" w:hAnsi="Arial" w:cs="Arial"/>
          <w:color w:val="auto"/>
          <w:u w:val="none"/>
        </w:rPr>
      </w:pPr>
      <w:r w:rsidRPr="00EC1B14">
        <w:rPr>
          <w:rFonts w:ascii="Arial" w:hAnsi="Arial" w:cs="Arial"/>
        </w:rPr>
        <w:t xml:space="preserve">World Bank. </w:t>
      </w:r>
      <w:r w:rsidRPr="00EC1B14">
        <w:rPr>
          <w:rFonts w:ascii="Arial" w:hAnsi="Arial" w:cs="Arial"/>
          <w:i/>
          <w:iCs/>
        </w:rPr>
        <w:t>Climate Risk Country Profile: Kenya</w:t>
      </w:r>
      <w:r w:rsidRPr="00EC1B14">
        <w:rPr>
          <w:rFonts w:ascii="Arial" w:hAnsi="Arial" w:cs="Arial"/>
        </w:rPr>
        <w:t xml:space="preserve">. (2021). The World Bank Group. </w:t>
      </w:r>
      <w:hyperlink r:id="rId48" w:history="1">
        <w:r w:rsidRPr="00EC1B14">
          <w:rPr>
            <w:rStyle w:val="Hyperlink"/>
            <w:rFonts w:ascii="Arial" w:hAnsi="Arial" w:cs="Arial"/>
          </w:rPr>
          <w:t>15724-WB_Kenya Country Profile-WEB.pdf (worldbank.org)</w:t>
        </w:r>
      </w:hyperlink>
    </w:p>
    <w:p w14:paraId="005EE335" w14:textId="4E1B2712" w:rsidR="007874A4" w:rsidRPr="00EC1B14" w:rsidRDefault="007874A4" w:rsidP="00D25F24">
      <w:pPr>
        <w:pStyle w:val="ListParagraph"/>
        <w:numPr>
          <w:ilvl w:val="0"/>
          <w:numId w:val="5"/>
        </w:numPr>
        <w:spacing w:line="240" w:lineRule="auto"/>
        <w:jc w:val="both"/>
        <w:rPr>
          <w:rStyle w:val="Hyperlink"/>
          <w:rFonts w:ascii="Arial" w:hAnsi="Arial" w:cs="Arial"/>
          <w:color w:val="auto"/>
          <w:u w:val="none"/>
        </w:rPr>
      </w:pPr>
      <w:r w:rsidRPr="00EC1B14">
        <w:rPr>
          <w:rStyle w:val="Hyperlink"/>
          <w:rFonts w:ascii="Arial" w:hAnsi="Arial" w:cs="Arial"/>
          <w:color w:val="auto"/>
          <w:u w:val="none"/>
        </w:rPr>
        <w:t>World Bank. (2023). Country Climate and Development Report.</w:t>
      </w:r>
    </w:p>
    <w:p w14:paraId="09F8550D" w14:textId="6D56D8C1" w:rsidR="00AE4790" w:rsidRPr="00EC1B14" w:rsidRDefault="00AE4790" w:rsidP="00D25F24">
      <w:pPr>
        <w:pStyle w:val="ListParagraph"/>
        <w:numPr>
          <w:ilvl w:val="0"/>
          <w:numId w:val="5"/>
        </w:numPr>
        <w:spacing w:line="240" w:lineRule="auto"/>
        <w:jc w:val="both"/>
        <w:rPr>
          <w:rFonts w:ascii="Arial" w:hAnsi="Arial" w:cs="Arial"/>
        </w:rPr>
      </w:pPr>
      <w:r w:rsidRPr="00EC1B14">
        <w:rPr>
          <w:rFonts w:ascii="Arial" w:hAnsi="Arial" w:cs="Arial"/>
        </w:rPr>
        <w:t xml:space="preserve">World Health Organization. (2014). Quantitative risk assessment of the effects of climate change on selected causes of death, 2030s and 2050s. </w:t>
      </w:r>
      <w:hyperlink r:id="rId49" w:history="1">
        <w:r w:rsidRPr="00EC1B14">
          <w:rPr>
            <w:rStyle w:val="Hyperlink"/>
            <w:rFonts w:ascii="Arial" w:hAnsi="Arial" w:cs="Arial"/>
          </w:rPr>
          <w:t>Quantitative risk assessment of the effects of climate change on selected causes of death, 2030s and 2050s (who.int)</w:t>
        </w:r>
      </w:hyperlink>
    </w:p>
    <w:p w14:paraId="16E38DCB" w14:textId="77777777" w:rsidR="00AE4790" w:rsidRPr="00EC1B14" w:rsidRDefault="00AE4790" w:rsidP="00D25F24">
      <w:pPr>
        <w:spacing w:line="240" w:lineRule="auto"/>
        <w:jc w:val="both"/>
        <w:rPr>
          <w:rFonts w:ascii="Arial" w:hAnsi="Arial" w:cs="Arial"/>
          <w:b/>
          <w:bCs/>
        </w:rPr>
      </w:pPr>
      <w:r w:rsidRPr="00EC1B14">
        <w:rPr>
          <w:rFonts w:ascii="Arial" w:hAnsi="Arial" w:cs="Arial"/>
          <w:b/>
          <w:bCs/>
        </w:rPr>
        <w:t>Websites</w:t>
      </w:r>
    </w:p>
    <w:p w14:paraId="32C375D2" w14:textId="77777777" w:rsidR="00AE4790" w:rsidRPr="00EC1B14" w:rsidRDefault="00AE4790" w:rsidP="00D25F24">
      <w:pPr>
        <w:pStyle w:val="ListParagraph"/>
        <w:numPr>
          <w:ilvl w:val="0"/>
          <w:numId w:val="6"/>
        </w:numPr>
        <w:spacing w:line="240" w:lineRule="auto"/>
        <w:jc w:val="both"/>
        <w:rPr>
          <w:rFonts w:ascii="Arial" w:hAnsi="Arial" w:cs="Arial"/>
        </w:rPr>
      </w:pPr>
      <w:r w:rsidRPr="00EC1B14">
        <w:rPr>
          <w:rFonts w:ascii="Arial" w:hAnsi="Arial" w:cs="Arial"/>
        </w:rPr>
        <w:t xml:space="preserve">European Central Bank (ECB – SSM Stress test 2022). Available at: </w:t>
      </w:r>
      <w:hyperlink r:id="rId50" w:history="1">
        <w:r w:rsidRPr="00EC1B14">
          <w:rPr>
            <w:rFonts w:ascii="Arial" w:hAnsi="Arial" w:cs="Arial"/>
            <w:color w:val="0000FF"/>
            <w:u w:val="single"/>
          </w:rPr>
          <w:t>Climate risk stress test - Methodology (europa.eu)</w:t>
        </w:r>
      </w:hyperlink>
    </w:p>
    <w:p w14:paraId="0F8BC14C" w14:textId="77777777" w:rsidR="00AE4790" w:rsidRPr="00EC1B14" w:rsidRDefault="00AE4790" w:rsidP="00D25F24">
      <w:pPr>
        <w:pStyle w:val="ListParagraph"/>
        <w:numPr>
          <w:ilvl w:val="0"/>
          <w:numId w:val="6"/>
        </w:numPr>
        <w:spacing w:line="240" w:lineRule="auto"/>
        <w:jc w:val="both"/>
        <w:rPr>
          <w:rFonts w:ascii="Arial" w:hAnsi="Arial" w:cs="Arial"/>
        </w:rPr>
      </w:pPr>
      <w:r w:rsidRPr="00EC1B14">
        <w:rPr>
          <w:rFonts w:ascii="Arial" w:hAnsi="Arial" w:cs="Arial"/>
        </w:rPr>
        <w:t xml:space="preserve">International Sustainability Standards Board (ISSB). (2023) IFRS S2 Climate-related Disclosures. </w:t>
      </w:r>
      <w:hyperlink r:id="rId51" w:anchor="about" w:history="1">
        <w:r w:rsidRPr="00EC1B14">
          <w:rPr>
            <w:rStyle w:val="Hyperlink"/>
            <w:rFonts w:ascii="Arial" w:hAnsi="Arial" w:cs="Arial"/>
          </w:rPr>
          <w:t>IFRS - IFRS S2 Climate-related Disclosures</w:t>
        </w:r>
      </w:hyperlink>
    </w:p>
    <w:p w14:paraId="7F834970" w14:textId="77777777" w:rsidR="00AE4790" w:rsidRPr="00EC1B14" w:rsidRDefault="00AE4790" w:rsidP="00D25F24">
      <w:pPr>
        <w:pStyle w:val="ListParagraph"/>
        <w:numPr>
          <w:ilvl w:val="0"/>
          <w:numId w:val="6"/>
        </w:numPr>
        <w:spacing w:line="240" w:lineRule="auto"/>
        <w:jc w:val="both"/>
        <w:rPr>
          <w:rStyle w:val="Hyperlink"/>
          <w:rFonts w:ascii="Arial" w:hAnsi="Arial" w:cs="Arial"/>
          <w:color w:val="auto"/>
          <w:u w:val="none"/>
        </w:rPr>
      </w:pPr>
      <w:r w:rsidRPr="00EC1B14">
        <w:rPr>
          <w:rFonts w:ascii="Arial" w:hAnsi="Arial" w:cs="Arial"/>
        </w:rPr>
        <w:t xml:space="preserve">Kenya Meteorology Department: Climate data. Available at: </w:t>
      </w:r>
      <w:hyperlink r:id="rId52" w:anchor="tabs-1" w:history="1">
        <w:r w:rsidRPr="00EC1B14">
          <w:rPr>
            <w:rStyle w:val="Hyperlink"/>
            <w:rFonts w:ascii="Arial" w:hAnsi="Arial" w:cs="Arial"/>
          </w:rPr>
          <w:t>Meteo Kenya Map Room</w:t>
        </w:r>
      </w:hyperlink>
    </w:p>
    <w:p w14:paraId="6AA53CCE" w14:textId="77777777" w:rsidR="00AE4790" w:rsidRPr="00EC1B14" w:rsidRDefault="00AE4790" w:rsidP="00D25F24">
      <w:pPr>
        <w:pStyle w:val="ListParagraph"/>
        <w:numPr>
          <w:ilvl w:val="0"/>
          <w:numId w:val="6"/>
        </w:numPr>
        <w:spacing w:line="240" w:lineRule="auto"/>
        <w:jc w:val="both"/>
        <w:rPr>
          <w:rFonts w:ascii="Arial" w:hAnsi="Arial" w:cs="Arial"/>
        </w:rPr>
      </w:pPr>
      <w:r w:rsidRPr="00EC1B14">
        <w:rPr>
          <w:rFonts w:ascii="Arial" w:hAnsi="Arial" w:cs="Arial"/>
        </w:rPr>
        <w:t xml:space="preserve">Moody’s Climate Capability “Heat Stress Impacts-Generic -2023”. </w:t>
      </w:r>
      <w:hyperlink r:id="rId53" w:history="1">
        <w:r w:rsidRPr="00EC1B14">
          <w:rPr>
            <w:rStyle w:val="Hyperlink"/>
            <w:rFonts w:ascii="Arial" w:hAnsi="Arial" w:cs="Arial"/>
          </w:rPr>
          <w:t>Heat Alert: Assessing Heat Stress Risk Impacts with Moody’s Climate on Demand Pro | Climate on Demand (moodys.com)</w:t>
        </w:r>
      </w:hyperlink>
    </w:p>
    <w:p w14:paraId="601A930F" w14:textId="77777777" w:rsidR="00AE4790" w:rsidRPr="00EC1B14" w:rsidRDefault="00AE4790" w:rsidP="00D25F24">
      <w:pPr>
        <w:pStyle w:val="ListParagraph"/>
        <w:numPr>
          <w:ilvl w:val="0"/>
          <w:numId w:val="6"/>
        </w:numPr>
        <w:spacing w:line="240" w:lineRule="auto"/>
        <w:jc w:val="both"/>
        <w:rPr>
          <w:rFonts w:ascii="Arial" w:hAnsi="Arial" w:cs="Arial"/>
        </w:rPr>
      </w:pPr>
      <w:r w:rsidRPr="00EC1B14">
        <w:rPr>
          <w:rFonts w:ascii="Arial" w:hAnsi="Arial" w:cs="Arial"/>
        </w:rPr>
        <w:t xml:space="preserve">NASA's Earthdata platform data related to temperature, precipitation, and other climate factors. </w:t>
      </w:r>
      <w:hyperlink r:id="rId54" w:history="1">
        <w:r w:rsidRPr="00EC1B14">
          <w:rPr>
            <w:rFonts w:ascii="Arial" w:hAnsi="Arial" w:cs="Arial"/>
            <w:color w:val="0000FF"/>
            <w:u w:val="single"/>
          </w:rPr>
          <w:t>War on Hunger | Earthdata (nasa.gov)</w:t>
        </w:r>
      </w:hyperlink>
    </w:p>
    <w:p w14:paraId="768899B0" w14:textId="77777777" w:rsidR="00AE4790" w:rsidRPr="00EC1B14" w:rsidRDefault="00AE4790" w:rsidP="00D25F24">
      <w:pPr>
        <w:pStyle w:val="ListParagraph"/>
        <w:numPr>
          <w:ilvl w:val="0"/>
          <w:numId w:val="6"/>
        </w:numPr>
        <w:spacing w:line="240" w:lineRule="auto"/>
        <w:jc w:val="both"/>
        <w:rPr>
          <w:rStyle w:val="Hyperlink"/>
          <w:rFonts w:ascii="Arial" w:hAnsi="Arial" w:cs="Arial"/>
          <w:color w:val="auto"/>
          <w:u w:val="none"/>
        </w:rPr>
      </w:pPr>
      <w:r w:rsidRPr="00EC1B14">
        <w:rPr>
          <w:rFonts w:ascii="Arial" w:hAnsi="Arial" w:cs="Arial"/>
        </w:rPr>
        <w:t xml:space="preserve">Tzachor, A., Richards, C., Gudoshava, M., Nying’uro, P., Misiani, H., Ongoma, J., Yair, Y., Mulugetta, Y., Gaye, A. (2023, August 14). </w:t>
      </w:r>
      <w:r w:rsidRPr="00EC1B14">
        <w:rPr>
          <w:rFonts w:ascii="Arial" w:hAnsi="Arial" w:cs="Arial"/>
          <w:i/>
          <w:iCs/>
        </w:rPr>
        <w:t>How to reduce Africa’s undue exposure to climate risks</w:t>
      </w:r>
      <w:r w:rsidRPr="00EC1B14">
        <w:rPr>
          <w:rFonts w:ascii="Arial" w:hAnsi="Arial" w:cs="Arial"/>
        </w:rPr>
        <w:t xml:space="preserve">. Nature. </w:t>
      </w:r>
      <w:hyperlink r:id="rId55" w:history="1">
        <w:r w:rsidRPr="00EC1B14">
          <w:rPr>
            <w:rStyle w:val="Hyperlink"/>
            <w:rFonts w:ascii="Arial" w:hAnsi="Arial" w:cs="Arial"/>
          </w:rPr>
          <w:t>How to reduce Africa’s undue exposure to climate risks (nature.com)</w:t>
        </w:r>
      </w:hyperlink>
    </w:p>
    <w:p w14:paraId="717CDCB6" w14:textId="77777777" w:rsidR="00AE4790" w:rsidRPr="00EC1B14" w:rsidRDefault="00AE4790" w:rsidP="00D25F24">
      <w:pPr>
        <w:pStyle w:val="ListParagraph"/>
        <w:numPr>
          <w:ilvl w:val="0"/>
          <w:numId w:val="6"/>
        </w:numPr>
        <w:spacing w:line="240" w:lineRule="auto"/>
        <w:jc w:val="both"/>
        <w:rPr>
          <w:rFonts w:ascii="Arial" w:hAnsi="Arial" w:cs="Arial"/>
        </w:rPr>
      </w:pPr>
      <w:r w:rsidRPr="00EC1B14">
        <w:rPr>
          <w:rFonts w:ascii="Arial" w:hAnsi="Arial" w:cs="Arial"/>
        </w:rPr>
        <w:t xml:space="preserve">Regional Centre for Mapping of Resources for Development (RCMRD) </w:t>
      </w:r>
      <w:hyperlink r:id="rId56" w:history="1">
        <w:r w:rsidRPr="00EC1B14">
          <w:rPr>
            <w:rFonts w:ascii="Arial" w:hAnsi="Arial" w:cs="Arial"/>
            <w:color w:val="0000FF"/>
            <w:u w:val="single"/>
          </w:rPr>
          <w:t>RCMRD Open Data Site</w:t>
        </w:r>
      </w:hyperlink>
    </w:p>
    <w:p w14:paraId="24E94CF7" w14:textId="77777777" w:rsidR="00AE4790" w:rsidRPr="00EC1B14" w:rsidRDefault="00AE4790" w:rsidP="00D25F24">
      <w:pPr>
        <w:pStyle w:val="ListParagraph"/>
        <w:numPr>
          <w:ilvl w:val="0"/>
          <w:numId w:val="6"/>
        </w:numPr>
        <w:spacing w:line="240" w:lineRule="auto"/>
        <w:jc w:val="both"/>
        <w:rPr>
          <w:rFonts w:ascii="Arial" w:hAnsi="Arial" w:cs="Arial"/>
        </w:rPr>
      </w:pPr>
      <w:r w:rsidRPr="00EC1B14">
        <w:rPr>
          <w:rFonts w:ascii="Arial" w:hAnsi="Arial" w:cs="Arial"/>
        </w:rPr>
        <w:t xml:space="preserve">SwissRe-Proprietary Geo-location and mapping tool data sets. (Sign in required by CBK). </w:t>
      </w:r>
      <w:hyperlink r:id="rId57" w:history="1">
        <w:r w:rsidRPr="00EC1B14">
          <w:rPr>
            <w:rStyle w:val="Hyperlink"/>
            <w:rFonts w:ascii="Arial" w:hAnsi="Arial" w:cs="Arial"/>
          </w:rPr>
          <w:t>CatNet® | Swiss Re</w:t>
        </w:r>
      </w:hyperlink>
    </w:p>
    <w:p w14:paraId="253A64E4" w14:textId="77777777" w:rsidR="00AE4790" w:rsidRPr="00EC1B14" w:rsidRDefault="00AE4790" w:rsidP="00D25F24">
      <w:pPr>
        <w:pStyle w:val="ListParagraph"/>
        <w:numPr>
          <w:ilvl w:val="0"/>
          <w:numId w:val="6"/>
        </w:numPr>
        <w:spacing w:line="240" w:lineRule="auto"/>
        <w:jc w:val="both"/>
        <w:rPr>
          <w:rFonts w:ascii="Arial" w:hAnsi="Arial" w:cs="Arial"/>
        </w:rPr>
      </w:pPr>
      <w:r w:rsidRPr="00EC1B14">
        <w:rPr>
          <w:rFonts w:ascii="Arial" w:hAnsi="Arial" w:cs="Arial"/>
        </w:rPr>
        <w:t xml:space="preserve">The United Nations Office for Disaster Risk Reduction (UNDRR), Generic resource on climate impacts </w:t>
      </w:r>
      <w:hyperlink r:id="rId58" w:history="1">
        <w:r w:rsidRPr="00EC1B14">
          <w:rPr>
            <w:rFonts w:ascii="Arial" w:hAnsi="Arial" w:cs="Arial"/>
            <w:color w:val="0000FF"/>
            <w:u w:val="single"/>
          </w:rPr>
          <w:t>Global Risk Analysis and Reporting | UNDRR</w:t>
        </w:r>
      </w:hyperlink>
    </w:p>
    <w:p w14:paraId="4C3D4B68" w14:textId="77777777" w:rsidR="00AE4790" w:rsidRPr="00EC1B14" w:rsidRDefault="00AE4790" w:rsidP="00D25F24">
      <w:pPr>
        <w:pStyle w:val="ListParagraph"/>
        <w:numPr>
          <w:ilvl w:val="0"/>
          <w:numId w:val="6"/>
        </w:numPr>
        <w:spacing w:line="240" w:lineRule="auto"/>
        <w:jc w:val="both"/>
        <w:rPr>
          <w:rStyle w:val="Hyperlink"/>
          <w:rFonts w:ascii="Arial" w:hAnsi="Arial" w:cs="Arial"/>
          <w:color w:val="auto"/>
          <w:u w:val="none"/>
        </w:rPr>
      </w:pPr>
      <w:r w:rsidRPr="00EC1B14">
        <w:rPr>
          <w:rFonts w:ascii="Arial" w:hAnsi="Arial" w:cs="Arial"/>
        </w:rPr>
        <w:t xml:space="preserve">United Nations Convention to Combat Desertification – Drought tool. Available at: </w:t>
      </w:r>
      <w:hyperlink r:id="rId59" w:history="1">
        <w:r w:rsidRPr="00EC1B14">
          <w:rPr>
            <w:rStyle w:val="Hyperlink"/>
            <w:rFonts w:ascii="Arial" w:hAnsi="Arial" w:cs="Arial"/>
          </w:rPr>
          <w:t>UNCCD Drought Toolbox</w:t>
        </w:r>
      </w:hyperlink>
    </w:p>
    <w:p w14:paraId="6682A0AE" w14:textId="77777777" w:rsidR="00AE4790" w:rsidRPr="00EC1B14" w:rsidRDefault="00AE4790" w:rsidP="00D25F24">
      <w:pPr>
        <w:pStyle w:val="ListParagraph"/>
        <w:numPr>
          <w:ilvl w:val="0"/>
          <w:numId w:val="6"/>
        </w:numPr>
        <w:spacing w:line="240" w:lineRule="auto"/>
        <w:jc w:val="both"/>
        <w:rPr>
          <w:rStyle w:val="Hyperlink"/>
          <w:rFonts w:ascii="Arial" w:hAnsi="Arial" w:cs="Arial"/>
          <w:color w:val="auto"/>
          <w:u w:val="none"/>
        </w:rPr>
      </w:pPr>
      <w:r w:rsidRPr="00EC1B14">
        <w:rPr>
          <w:rFonts w:ascii="Arial" w:hAnsi="Arial" w:cs="Arial"/>
        </w:rPr>
        <w:t xml:space="preserve">USAID Kenya Climate Change Fact Sheet (US Government). </w:t>
      </w:r>
      <w:hyperlink r:id="rId60" w:history="1">
        <w:r w:rsidRPr="00EC1B14">
          <w:rPr>
            <w:rFonts w:ascii="Arial" w:hAnsi="Arial" w:cs="Arial"/>
            <w:color w:val="0000FF"/>
            <w:u w:val="single"/>
          </w:rPr>
          <w:t>Kenya Climate Change Fact Sheet | Global Climate Change (climatelinks.org)</w:t>
        </w:r>
      </w:hyperlink>
    </w:p>
    <w:p w14:paraId="3C5B337D" w14:textId="77777777" w:rsidR="00AE4790" w:rsidRPr="00EC1B14" w:rsidRDefault="00AE4790" w:rsidP="00D25F24">
      <w:pPr>
        <w:pStyle w:val="ListParagraph"/>
        <w:numPr>
          <w:ilvl w:val="0"/>
          <w:numId w:val="6"/>
        </w:numPr>
        <w:spacing w:line="240" w:lineRule="auto"/>
        <w:jc w:val="both"/>
        <w:rPr>
          <w:rStyle w:val="Hyperlink"/>
          <w:rFonts w:ascii="Arial" w:hAnsi="Arial" w:cs="Arial"/>
          <w:color w:val="auto"/>
          <w:u w:val="none"/>
        </w:rPr>
      </w:pPr>
      <w:r w:rsidRPr="00EC1B14">
        <w:rPr>
          <w:rFonts w:ascii="Arial" w:hAnsi="Arial" w:cs="Arial"/>
        </w:rPr>
        <w:t xml:space="preserve">World Bank: Climate Knowledge Portal – historical and projected climate data. Available at: </w:t>
      </w:r>
      <w:hyperlink r:id="rId61" w:history="1">
        <w:r w:rsidRPr="00EC1B14">
          <w:rPr>
            <w:rStyle w:val="Hyperlink"/>
            <w:rFonts w:ascii="Arial" w:hAnsi="Arial" w:cs="Arial"/>
          </w:rPr>
          <w:t>Kenya - Summary | Climate Change Knowledge Portal (worldbank.org)</w:t>
        </w:r>
      </w:hyperlink>
    </w:p>
    <w:p w14:paraId="11D31B0E" w14:textId="77777777" w:rsidR="00AE4790" w:rsidRPr="00EC1B14" w:rsidRDefault="00AE4790" w:rsidP="00D25F24">
      <w:pPr>
        <w:pStyle w:val="ListParagraph"/>
        <w:numPr>
          <w:ilvl w:val="0"/>
          <w:numId w:val="6"/>
        </w:numPr>
        <w:spacing w:line="240" w:lineRule="auto"/>
        <w:jc w:val="both"/>
        <w:rPr>
          <w:rStyle w:val="Hyperlink"/>
          <w:rFonts w:ascii="Arial" w:hAnsi="Arial" w:cs="Arial"/>
          <w:color w:val="auto"/>
          <w:u w:val="none"/>
        </w:rPr>
      </w:pPr>
      <w:r w:rsidRPr="00EC1B14">
        <w:rPr>
          <w:rFonts w:ascii="Arial" w:hAnsi="Arial" w:cs="Arial"/>
        </w:rPr>
        <w:t xml:space="preserve">World Bank: World development indicators (GDP Contribution Table). </w:t>
      </w:r>
      <w:hyperlink r:id="rId62" w:history="1">
        <w:r w:rsidRPr="00EC1B14">
          <w:rPr>
            <w:rStyle w:val="Hyperlink"/>
            <w:rFonts w:ascii="Arial" w:hAnsi="Arial" w:cs="Arial"/>
          </w:rPr>
          <w:t>Contribution to GDP of Kenya for selected sectors (%) | Download Table (researchgate.net)</w:t>
        </w:r>
      </w:hyperlink>
    </w:p>
    <w:p w14:paraId="4C829CF5" w14:textId="77777777" w:rsidR="008234EF" w:rsidRPr="00EC1B14" w:rsidRDefault="008234EF" w:rsidP="00D25F24">
      <w:pPr>
        <w:spacing w:line="240" w:lineRule="auto"/>
        <w:ind w:left="360"/>
        <w:jc w:val="both"/>
        <w:rPr>
          <w:rFonts w:ascii="Arial" w:hAnsi="Arial" w:cs="Arial"/>
        </w:rPr>
      </w:pPr>
    </w:p>
    <w:p w14:paraId="2A683F3D" w14:textId="77777777" w:rsidR="0066484D" w:rsidRPr="00EC1B14" w:rsidRDefault="0066484D" w:rsidP="00D25F24">
      <w:pPr>
        <w:spacing w:before="120" w:afterLines="120" w:after="288" w:line="240" w:lineRule="auto"/>
        <w:jc w:val="both"/>
        <w:rPr>
          <w:rFonts w:ascii="Arial" w:hAnsi="Arial" w:cs="Arial"/>
          <w:b/>
        </w:rPr>
      </w:pPr>
    </w:p>
    <w:sectPr w:rsidR="0066484D" w:rsidRPr="00EC1B14" w:rsidSect="00CF021E">
      <w:footerReference w:type="even" r:id="rId63"/>
      <w:footerReference w:type="default" r:id="rId64"/>
      <w:footerReference w:type="first" r:id="rId65"/>
      <w:pgSz w:w="11906" w:h="16838"/>
      <w:pgMar w:top="1440" w:right="1440" w:bottom="1440" w:left="1440" w:header="475" w:footer="42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7D9193F" w14:textId="77777777" w:rsidR="00AE54FF" w:rsidRDefault="00AE54FF" w:rsidP="00CD39FD">
      <w:pPr>
        <w:spacing w:after="0" w:line="240" w:lineRule="auto"/>
      </w:pPr>
      <w:r>
        <w:separator/>
      </w:r>
    </w:p>
  </w:endnote>
  <w:endnote w:type="continuationSeparator" w:id="0">
    <w:p w14:paraId="0555E038" w14:textId="77777777" w:rsidR="00AE54FF" w:rsidRDefault="00AE54FF" w:rsidP="00CD39FD">
      <w:pPr>
        <w:spacing w:after="0" w:line="240" w:lineRule="auto"/>
      </w:pPr>
      <w:r>
        <w:continuationSeparator/>
      </w:r>
    </w:p>
  </w:endnote>
  <w:endnote w:type="continuationNotice" w:id="1">
    <w:p w14:paraId="473DE54B" w14:textId="77777777" w:rsidR="00AE54FF" w:rsidRDefault="00AE54F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1A8CD3" w14:textId="66A6620B" w:rsidR="0055293C" w:rsidRDefault="0055293C">
    <w:pPr>
      <w:pStyle w:val="Footer"/>
    </w:pPr>
    <w:r>
      <w:rPr>
        <w:noProof/>
      </w:rPr>
      <mc:AlternateContent>
        <mc:Choice Requires="wps">
          <w:drawing>
            <wp:anchor distT="0" distB="0" distL="0" distR="0" simplePos="0" relativeHeight="251660293" behindDoc="0" locked="0" layoutInCell="1" allowOverlap="1" wp14:anchorId="180C28D3" wp14:editId="18E048EF">
              <wp:simplePos x="635" y="635"/>
              <wp:positionH relativeFrom="page">
                <wp:align>center</wp:align>
              </wp:positionH>
              <wp:positionV relativeFrom="page">
                <wp:align>bottom</wp:align>
              </wp:positionV>
              <wp:extent cx="768350" cy="340995"/>
              <wp:effectExtent l="0" t="0" r="12700" b="0"/>
              <wp:wrapNone/>
              <wp:docPr id="1722700361" name="Text Box 8"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29999556" w14:textId="0402C236"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
          <w:pict>
            <v:shapetype w14:anchorId="180C28D3" id="_x0000_t202" coordsize="21600,21600" o:spt="202" path="m,l,21600r21600,l21600,xe">
              <v:stroke joinstyle="miter"/>
              <v:path gradientshapeok="t" o:connecttype="rect"/>
            </v:shapetype>
            <v:shape id="Text Box 8" o:spid="_x0000_s1028" type="#_x0000_t202" alt="C2: CBK - Official" style="position:absolute;margin-left:0;margin-top:0;width:60.5pt;height:26.85pt;z-index:251660293;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" filled="f" stroked="f">
              <v:fill o:detectmouseclick="t"/>
              <v:textbox style="mso-fit-shape-to-text:t" inset="0,0,0,15pt">
                <w:txbxContent>
                  <w:p w14:paraId="29999556" w14:textId="0402C236"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369684" w14:textId="0790551E" w:rsidR="005C02CD" w:rsidRDefault="0055293C" w:rsidP="005C02CD">
    <w:pPr>
      <w:pStyle w:val="Footer"/>
      <w:jc w:val="center"/>
    </w:pPr>
    <w:r>
      <w:rPr>
        <w:noProof/>
      </w:rPr>
      <mc:AlternateContent>
        <mc:Choice Requires="wps">
          <w:drawing>
            <wp:anchor distT="0" distB="0" distL="0" distR="0" simplePos="0" relativeHeight="251661317" behindDoc="0" locked="0" layoutInCell="1" allowOverlap="1" wp14:anchorId="471E1F36" wp14:editId="670E4C2E">
              <wp:simplePos x="914400" y="9899650"/>
              <wp:positionH relativeFrom="page">
                <wp:align>center</wp:align>
              </wp:positionH>
              <wp:positionV relativeFrom="page">
                <wp:align>bottom</wp:align>
              </wp:positionV>
              <wp:extent cx="768350" cy="340995"/>
              <wp:effectExtent l="0" t="0" r="12700" b="0"/>
              <wp:wrapNone/>
              <wp:docPr id="279010321" name="Text Box 9"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3A201C83" w14:textId="7CF2AC5F"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
          <w:pict>
            <v:shapetype w14:anchorId="471E1F36" id="_x0000_t202" coordsize="21600,21600" o:spt="202" path="m,l,21600r21600,l21600,xe">
              <v:stroke joinstyle="miter"/>
              <v:path gradientshapeok="t" o:connecttype="rect"/>
            </v:shapetype>
            <v:shape id="Text Box 9" o:spid="_x0000_s1029" type="#_x0000_t202" alt="C2: CBK - Official" style="position:absolute;left:0;text-align:left;margin-left:0;margin-top:0;width:60.5pt;height:26.85pt;z-index:251661317;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" filled="f" stroked="f">
              <v:fill o:detectmouseclick="t"/>
              <v:textbox style="mso-fit-shape-to-text:t" inset="0,0,0,15pt">
                <w:txbxContent>
                  <w:p w14:paraId="3A201C83" w14:textId="7CF2AC5F"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p w14:paraId="09A4E6FC" w14:textId="77777777" w:rsidR="005C02CD" w:rsidRDefault="005C02C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53D9D7" w14:textId="63C3F203" w:rsidR="0055293C" w:rsidRDefault="0055293C">
    <w:pPr>
      <w:pStyle w:val="Footer"/>
    </w:pPr>
    <w:r>
      <w:rPr>
        <w:noProof/>
      </w:rPr>
      <mc:AlternateContent>
        <mc:Choice Requires="wps">
          <w:drawing>
            <wp:anchor distT="0" distB="0" distL="0" distR="0" simplePos="0" relativeHeight="251659269" behindDoc="0" locked="0" layoutInCell="1" allowOverlap="1" wp14:anchorId="6F284935" wp14:editId="491C9049">
              <wp:simplePos x="635" y="635"/>
              <wp:positionH relativeFrom="page">
                <wp:align>center</wp:align>
              </wp:positionH>
              <wp:positionV relativeFrom="page">
                <wp:align>bottom</wp:align>
              </wp:positionV>
              <wp:extent cx="768350" cy="340995"/>
              <wp:effectExtent l="0" t="0" r="12700" b="0"/>
              <wp:wrapNone/>
              <wp:docPr id="1173213331" name="Text Box 7"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7FCC6F89" w14:textId="60DFE2B0"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
          <w:pict>
            <v:shapetype w14:anchorId="6F284935" id="_x0000_t202" coordsize="21600,21600" o:spt="202" path="m,l,21600r21600,l21600,xe">
              <v:stroke joinstyle="miter"/>
              <v:path gradientshapeok="t" o:connecttype="rect"/>
            </v:shapetype>
            <v:shape id="Text Box 7" o:spid="_x0000_s1031" type="#_x0000_t202" alt="C2: CBK - Official" style="position:absolute;margin-left:0;margin-top:0;width:60.5pt;height:26.85pt;z-index:251659269;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" filled="f" stroked="f">
              <v:fill o:detectmouseclick="t"/>
              <v:textbox style="mso-fit-shape-to-text:t" inset="0,0,0,15pt">
                <w:txbxContent>
                  <w:p w14:paraId="7FCC6F89" w14:textId="60DFE2B0"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59CB9E" w14:textId="176EAA3F" w:rsidR="0055293C" w:rsidRDefault="0055293C">
    <w:pPr>
      <w:pStyle w:val="Footer"/>
    </w:pPr>
    <w:r>
      <w:rPr>
        <w:noProof/>
      </w:rPr>
      <mc:AlternateContent>
        <mc:Choice Requires="wps">
          <w:drawing>
            <wp:anchor distT="0" distB="0" distL="0" distR="0" simplePos="0" relativeHeight="251663365" behindDoc="0" locked="0" layoutInCell="1" allowOverlap="1" wp14:anchorId="0B85E252" wp14:editId="0A291B6F">
              <wp:simplePos x="635" y="635"/>
              <wp:positionH relativeFrom="page">
                <wp:align>center</wp:align>
              </wp:positionH>
              <wp:positionV relativeFrom="page">
                <wp:align>bottom</wp:align>
              </wp:positionV>
              <wp:extent cx="768350" cy="340995"/>
              <wp:effectExtent l="0" t="0" r="12700" b="0"/>
              <wp:wrapNone/>
              <wp:docPr id="1863756745" name="Text Box 11"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34517878" w14:textId="34875DB3"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
          <w:pict>
            <v:shapetype w14:anchorId="0B85E252" id="_x0000_t202" coordsize="21600,21600" o:spt="202" path="m,l,21600r21600,l21600,xe">
              <v:stroke joinstyle="miter"/>
              <v:path gradientshapeok="t" o:connecttype="rect"/>
            </v:shapetype>
            <v:shape id="Text Box 11" o:spid="_x0000_s1034" type="#_x0000_t202" alt="C2: CBK - Official" style="position:absolute;margin-left:0;margin-top:0;width:60.5pt;height:26.85pt;z-index:25166336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" filled="f" stroked="f">
              <v:fill o:detectmouseclick="t"/>
              <v:textbox style="mso-fit-shape-to-text:t" inset="0,0,0,15pt">
                <w:txbxContent>
                  <w:p w14:paraId="34517878" w14:textId="34875DB3"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9FCBE6" w14:textId="49306C6D" w:rsidR="00024509" w:rsidRDefault="0055293C">
    <w:pPr>
      <w:pStyle w:val="Footer"/>
      <w:jc w:val="center"/>
    </w:pPr>
    <w:r>
      <w:rPr>
        <w:noProof/>
      </w:rPr>
      <mc:AlternateContent>
        <mc:Choice Requires="wps">
          <w:drawing>
            <wp:anchor distT="0" distB="0" distL="0" distR="0" simplePos="0" relativeHeight="251664389" behindDoc="0" locked="0" layoutInCell="1" allowOverlap="1" wp14:anchorId="61BC75DA" wp14:editId="7A352745">
              <wp:simplePos x="635" y="635"/>
              <wp:positionH relativeFrom="page">
                <wp:align>center</wp:align>
              </wp:positionH>
              <wp:positionV relativeFrom="page">
                <wp:align>bottom</wp:align>
              </wp:positionV>
              <wp:extent cx="768350" cy="340995"/>
              <wp:effectExtent l="0" t="0" r="12700" b="0"/>
              <wp:wrapNone/>
              <wp:docPr id="1185772489" name="Text Box 12"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0A8A60FA" w14:textId="79B7056C"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
          <w:pict>
            <v:shapetype w14:anchorId="61BC75DA" id="_x0000_t202" coordsize="21600,21600" o:spt="202" path="m,l,21600r21600,l21600,xe">
              <v:stroke joinstyle="miter"/>
              <v:path gradientshapeok="t" o:connecttype="rect"/>
            </v:shapetype>
            <v:shape id="Text Box 12" o:spid="_x0000_s1035" type="#_x0000_t202" alt="C2: CBK - Official" style="position:absolute;left:0;text-align:left;margin-left:0;margin-top:0;width:60.5pt;height:26.85pt;z-index:251664389;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" filled="f" stroked="f">
              <v:fill o:detectmouseclick="t"/>
              <v:textbox style="mso-fit-shape-to-text:t" inset="0,0,0,15pt">
                <w:txbxContent>
                  <w:p w14:paraId="0A8A60FA" w14:textId="79B7056C"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p w14:paraId="3349B5FB" w14:textId="77777777" w:rsidR="000332F6" w:rsidRDefault="000332F6">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1C1F44" w14:textId="17A4535D" w:rsidR="0055293C" w:rsidRDefault="0055293C">
    <w:pPr>
      <w:pStyle w:val="Footer"/>
    </w:pPr>
    <w:r>
      <w:rPr>
        <w:noProof/>
      </w:rPr>
      <mc:AlternateContent>
        <mc:Choice Requires="wps">
          <w:drawing>
            <wp:anchor distT="0" distB="0" distL="0" distR="0" simplePos="0" relativeHeight="251662341" behindDoc="0" locked="0" layoutInCell="1" allowOverlap="1" wp14:anchorId="161EC731" wp14:editId="59E55838">
              <wp:simplePos x="635" y="635"/>
              <wp:positionH relativeFrom="page">
                <wp:align>center</wp:align>
              </wp:positionH>
              <wp:positionV relativeFrom="page">
                <wp:align>bottom</wp:align>
              </wp:positionV>
              <wp:extent cx="768350" cy="340995"/>
              <wp:effectExtent l="0" t="0" r="12700" b="0"/>
              <wp:wrapNone/>
              <wp:docPr id="993442683" name="Text Box 10"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24CBAE99" w14:textId="34F5E658"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
          <w:pict>
            <v:shapetype w14:anchorId="161EC731" id="_x0000_t202" coordsize="21600,21600" o:spt="202" path="m,l,21600r21600,l21600,xe">
              <v:stroke joinstyle="miter"/>
              <v:path gradientshapeok="t" o:connecttype="rect"/>
            </v:shapetype>
            <v:shape id="Text Box 10" o:spid="_x0000_s1037" type="#_x0000_t202" alt="C2: CBK - Official" style="position:absolute;margin-left:0;margin-top:0;width:60.5pt;height:26.85pt;z-index:2516623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" filled="f" stroked="f">
              <v:fill o:detectmouseclick="t"/>
              <v:textbox style="mso-fit-shape-to-text:t" inset="0,0,0,15pt">
                <w:txbxContent>
                  <w:p w14:paraId="24CBAE99" w14:textId="34F5E658"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54154F" w14:textId="004DA15C" w:rsidR="0055293C" w:rsidRDefault="0055293C">
    <w:pPr>
      <w:pStyle w:val="Footer"/>
    </w:pPr>
    <w:r>
      <w:rPr>
        <w:noProof/>
      </w:rPr>
      <mc:AlternateContent>
        <mc:Choice Requires="wps">
          <w:drawing>
            <wp:anchor distT="0" distB="0" distL="0" distR="0" simplePos="0" relativeHeight="251666437" behindDoc="0" locked="0" layoutInCell="1" allowOverlap="1" wp14:anchorId="3D33E43E" wp14:editId="230FD1F4">
              <wp:simplePos x="635" y="635"/>
              <wp:positionH relativeFrom="page">
                <wp:align>center</wp:align>
              </wp:positionH>
              <wp:positionV relativeFrom="page">
                <wp:align>bottom</wp:align>
              </wp:positionV>
              <wp:extent cx="768350" cy="340995"/>
              <wp:effectExtent l="0" t="0" r="12700" b="0"/>
              <wp:wrapNone/>
              <wp:docPr id="1711805167" name="Text Box 14"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2D0029AA" w14:textId="7A4B26D6"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
          <w:pict>
            <v:shapetype w14:anchorId="3D33E43E" id="_x0000_t202" coordsize="21600,21600" o:spt="202" path="m,l,21600r21600,l21600,xe">
              <v:stroke joinstyle="miter"/>
              <v:path gradientshapeok="t" o:connecttype="rect"/>
            </v:shapetype>
            <v:shape id="Text Box 14" o:spid="_x0000_s1038" type="#_x0000_t202" alt="C2: CBK - Official" style="position:absolute;margin-left:0;margin-top:0;width:60.5pt;height:26.85pt;z-index:251666437;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" filled="f" stroked="f">
              <v:fill o:detectmouseclick="t"/>
              <v:textbox style="mso-fit-shape-to-text:t" inset="0,0,0,15pt">
                <w:txbxContent>
                  <w:p w14:paraId="2D0029AA" w14:textId="7A4B26D6"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030CB4" w14:textId="705F76B7" w:rsidR="00024509" w:rsidRDefault="0055293C">
    <w:pPr>
      <w:pStyle w:val="Footer"/>
      <w:jc w:val="center"/>
    </w:pPr>
    <w:r>
      <w:rPr>
        <w:noProof/>
      </w:rPr>
      <mc:AlternateContent>
        <mc:Choice Requires="wps">
          <w:drawing>
            <wp:anchor distT="0" distB="0" distL="0" distR="0" simplePos="0" relativeHeight="251667461" behindDoc="0" locked="0" layoutInCell="1" allowOverlap="1" wp14:anchorId="195A2FA3" wp14:editId="68C71F6C">
              <wp:simplePos x="635" y="635"/>
              <wp:positionH relativeFrom="page">
                <wp:align>center</wp:align>
              </wp:positionH>
              <wp:positionV relativeFrom="page">
                <wp:align>bottom</wp:align>
              </wp:positionV>
              <wp:extent cx="768350" cy="340995"/>
              <wp:effectExtent l="0" t="0" r="12700" b="0"/>
              <wp:wrapNone/>
              <wp:docPr id="599804452" name="Text Box 15"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5776239A" w14:textId="6A409CC4"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
          <w:pict>
            <v:shapetype w14:anchorId="195A2FA3" id="_x0000_t202" coordsize="21600,21600" o:spt="202" path="m,l,21600r21600,l21600,xe">
              <v:stroke joinstyle="miter"/>
              <v:path gradientshapeok="t" o:connecttype="rect"/>
            </v:shapetype>
            <v:shape id="Text Box 15" o:spid="_x0000_s1039" type="#_x0000_t202" alt="C2: CBK - Official" style="position:absolute;left:0;text-align:left;margin-left:0;margin-top:0;width:60.5pt;height:26.85pt;z-index:25166746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" filled="f" stroked="f">
              <v:fill o:detectmouseclick="t"/>
              <v:textbox style="mso-fit-shape-to-text:t" inset="0,0,0,15pt">
                <w:txbxContent>
                  <w:p w14:paraId="5776239A" w14:textId="6A409CC4"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sdt>
    <w:sdtPr>
      <w:id w:val="67696149"/>
      <w:docPartObj>
        <w:docPartGallery w:val="Page Numbers (Bottom of Page)"/>
        <w:docPartUnique/>
      </w:docPartObj>
    </w:sdtPr>
    <w:sdtEndPr>
      <w:rPr>
        <w:noProof/>
      </w:rPr>
    </w:sdtEndPr>
    <w:sdtContent>
      <w:p w14:paraId="5104544D" w14:textId="77777777" w:rsidR="00024509" w:rsidRDefault="00024509">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3F0B3F90" w14:textId="77777777" w:rsidR="00024509" w:rsidRDefault="00024509">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6F7277" w14:textId="4B2D4C7B" w:rsidR="0055293C" w:rsidRDefault="0055293C">
    <w:pPr>
      <w:pStyle w:val="Footer"/>
    </w:pPr>
    <w:r>
      <w:rPr>
        <w:noProof/>
      </w:rPr>
      <mc:AlternateContent>
        <mc:Choice Requires="wps">
          <w:drawing>
            <wp:anchor distT="0" distB="0" distL="0" distR="0" simplePos="0" relativeHeight="251665413" behindDoc="0" locked="0" layoutInCell="1" allowOverlap="1" wp14:anchorId="23DBE44D" wp14:editId="4FB52CC7">
              <wp:simplePos x="635" y="635"/>
              <wp:positionH relativeFrom="page">
                <wp:align>center</wp:align>
              </wp:positionH>
              <wp:positionV relativeFrom="page">
                <wp:align>bottom</wp:align>
              </wp:positionV>
              <wp:extent cx="768350" cy="340995"/>
              <wp:effectExtent l="0" t="0" r="12700" b="0"/>
              <wp:wrapNone/>
              <wp:docPr id="1519533703" name="Text Box 13"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6C8E719B" w14:textId="2FA943FE"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
          <w:pict>
            <v:shapetype w14:anchorId="23DBE44D" id="_x0000_t202" coordsize="21600,21600" o:spt="202" path="m,l,21600r21600,l21600,xe">
              <v:stroke joinstyle="miter"/>
              <v:path gradientshapeok="t" o:connecttype="rect"/>
            </v:shapetype>
            <v:shape id="Text Box 13" o:spid="_x0000_s1040" type="#_x0000_t202" alt="C2: CBK - Official" style="position:absolute;margin-left:0;margin-top:0;width:60.5pt;height:26.85pt;z-index:251665413;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" filled="f" stroked="f">
              <v:fill o:detectmouseclick="t"/>
              <v:textbox style="mso-fit-shape-to-text:t" inset="0,0,0,15pt">
                <w:txbxContent>
                  <w:p w14:paraId="6C8E719B" w14:textId="2FA943FE"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2997F9" w14:textId="2D4EA1B3" w:rsidR="0055293C" w:rsidRDefault="0055293C">
    <w:pPr>
      <w:pStyle w:val="Footer"/>
    </w:pPr>
    <w:r>
      <w:rPr>
        <w:noProof/>
      </w:rPr>
      <mc:AlternateContent>
        <mc:Choice Requires="wps">
          <w:drawing>
            <wp:anchor distT="0" distB="0" distL="0" distR="0" simplePos="0" relativeHeight="251669509" behindDoc="0" locked="0" layoutInCell="1" allowOverlap="1" wp14:anchorId="3C9E20E0" wp14:editId="5164BB0F">
              <wp:simplePos x="635" y="635"/>
              <wp:positionH relativeFrom="page">
                <wp:align>center</wp:align>
              </wp:positionH>
              <wp:positionV relativeFrom="page">
                <wp:align>bottom</wp:align>
              </wp:positionV>
              <wp:extent cx="768350" cy="340995"/>
              <wp:effectExtent l="0" t="0" r="12700" b="0"/>
              <wp:wrapNone/>
              <wp:docPr id="1066996032" name="Text Box 17"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742DE49A" w14:textId="1FA7DAAA"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
          <w:pict>
            <v:shapetype w14:anchorId="3C9E20E0" id="_x0000_t202" coordsize="21600,21600" o:spt="202" path="m,l,21600r21600,l21600,xe">
              <v:stroke joinstyle="miter"/>
              <v:path gradientshapeok="t" o:connecttype="rect"/>
            </v:shapetype>
            <v:shape id="Text Box 17" o:spid="_x0000_s1041" type="#_x0000_t202" alt="C2: CBK - Official" style="position:absolute;margin-left:0;margin-top:0;width:60.5pt;height:26.85pt;z-index:251669509;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" filled="f" stroked="f">
              <v:fill o:detectmouseclick="t"/>
              <v:textbox style="mso-fit-shape-to-text:t" inset="0,0,0,15pt">
                <w:txbxContent>
                  <w:p w14:paraId="742DE49A" w14:textId="1FA7DAAA"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0C8677" w14:textId="7B77EDA2" w:rsidR="00747124" w:rsidRDefault="0055293C">
    <w:pPr>
      <w:pStyle w:val="Footer"/>
      <w:jc w:val="center"/>
    </w:pPr>
    <w:r>
      <w:rPr>
        <w:noProof/>
      </w:rPr>
      <mc:AlternateContent>
        <mc:Choice Requires="wps">
          <w:drawing>
            <wp:anchor distT="0" distB="0" distL="0" distR="0" simplePos="0" relativeHeight="251670533" behindDoc="0" locked="0" layoutInCell="1" allowOverlap="1" wp14:anchorId="42E45F74" wp14:editId="0321BF2A">
              <wp:simplePos x="635" y="635"/>
              <wp:positionH relativeFrom="page">
                <wp:align>center</wp:align>
              </wp:positionH>
              <wp:positionV relativeFrom="page">
                <wp:align>bottom</wp:align>
              </wp:positionV>
              <wp:extent cx="768350" cy="340995"/>
              <wp:effectExtent l="0" t="0" r="12700" b="0"/>
              <wp:wrapNone/>
              <wp:docPr id="208972367" name="Text Box 18"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371BF425" w14:textId="4671F174"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
          <w:pict>
            <v:shapetype w14:anchorId="42E45F74" id="_x0000_t202" coordsize="21600,21600" o:spt="202" path="m,l,21600r21600,l21600,xe">
              <v:stroke joinstyle="miter"/>
              <v:path gradientshapeok="t" o:connecttype="rect"/>
            </v:shapetype>
            <v:shape id="Text Box 18" o:spid="_x0000_s1042" type="#_x0000_t202" alt="C2: CBK - Official" style="position:absolute;left:0;text-align:left;margin-left:0;margin-top:0;width:60.5pt;height:26.85pt;z-index:251670533;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" filled="f" stroked="f">
              <v:fill o:detectmouseclick="t"/>
              <v:textbox style="mso-fit-shape-to-text:t" inset="0,0,0,15pt">
                <w:txbxContent>
                  <w:p w14:paraId="371BF425" w14:textId="4671F174"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sdt>
    <w:sdtPr>
      <w:id w:val="-997495644"/>
      <w:docPartObj>
        <w:docPartGallery w:val="Page Numbers (Bottom of Page)"/>
        <w:docPartUnique/>
      </w:docPartObj>
    </w:sdtPr>
    <w:sdtEndPr>
      <w:rPr>
        <w:noProof/>
      </w:rPr>
    </w:sdtEndPr>
    <w:sdtContent>
      <w:p w14:paraId="4E8132B6" w14:textId="77777777" w:rsidR="00747124" w:rsidRDefault="00747124">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8F4818" w14:textId="77777777" w:rsidR="00747124" w:rsidRDefault="00747124">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123C3B" w14:textId="7B60A030" w:rsidR="0055293C" w:rsidRDefault="0055293C">
    <w:pPr>
      <w:pStyle w:val="Footer"/>
    </w:pPr>
    <w:r>
      <w:rPr>
        <w:noProof/>
      </w:rPr>
      <mc:AlternateContent>
        <mc:Choice Requires="wps">
          <w:drawing>
            <wp:anchor distT="0" distB="0" distL="0" distR="0" simplePos="0" relativeHeight="251668485" behindDoc="0" locked="0" layoutInCell="1" allowOverlap="1" wp14:anchorId="44EE5CBB" wp14:editId="5CCCCB7D">
              <wp:simplePos x="635" y="635"/>
              <wp:positionH relativeFrom="page">
                <wp:align>center</wp:align>
              </wp:positionH>
              <wp:positionV relativeFrom="page">
                <wp:align>bottom</wp:align>
              </wp:positionV>
              <wp:extent cx="768350" cy="340995"/>
              <wp:effectExtent l="0" t="0" r="12700" b="0"/>
              <wp:wrapNone/>
              <wp:docPr id="1246499754" name="Text Box 16"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68350" cy="340995"/>
                      </a:xfrm>
                      <a:prstGeom prst="rect">
                        <a:avLst/>
                      </a:prstGeom>
                      <a:noFill/>
                      <a:ln>
                        <a:noFill/>
                      </a:ln>
                    </wps:spPr>
                    <wps:txbx>
                      <w:txbxContent>
                        <w:p w14:paraId="2F2DBBB4" w14:textId="0886C468"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
          <w:pict>
            <v:shapetype w14:anchorId="44EE5CBB" id="_x0000_t202" coordsize="21600,21600" o:spt="202" path="m,l,21600r21600,l21600,xe">
              <v:stroke joinstyle="miter"/>
              <v:path gradientshapeok="t" o:connecttype="rect"/>
            </v:shapetype>
            <v:shape id="Text Box 16" o:spid="_x0000_s1043" type="#_x0000_t202" alt="C2: CBK - Official" style="position:absolute;margin-left:0;margin-top:0;width:60.5pt;height:26.85pt;z-index:25166848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" filled="f" stroked="f">
              <v:fill o:detectmouseclick="t"/>
              <v:textbox style="mso-fit-shape-to-text:t" inset="0,0,0,15pt">
                <w:txbxContent>
                  <w:p w14:paraId="2F2DBBB4" w14:textId="0886C468" w:rsidR="0055293C" w:rsidRPr="0055293C" w:rsidRDefault="0055293C" w:rsidP="0055293C">
                    <w:pPr>
                      <w:spacing w:after="0"/>
                      <w:rPr>
                        <w:rFonts w:ascii="Calibri" w:eastAsia="Calibri" w:hAnsi="Calibri" w:cs="Calibri"/>
                        <w:noProof/>
                        <w:color w:val="0000FF"/>
                        <w:sz w:val="18"/>
                        <w:szCs w:val="18"/>
                      </w:rPr>
                    </w:pPr>
                    <w:r w:rsidRPr="0055293C">
                      <w:rPr>
                        <w:rFonts w:ascii="Calibri" w:eastAsia="Calibri" w:hAnsi="Calibri" w:cs="Calibri"/>
                        <w:noProof/>
                        <w:color w:val="0000FF"/>
                        <w:sz w:val="18"/>
                        <w:szCs w:val="18"/>
                      </w:rPr>
                      <w:t>C2: CBK - Official</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776B315" w14:textId="77777777" w:rsidR="00AE54FF" w:rsidRDefault="00AE54FF" w:rsidP="00CD39FD">
      <w:pPr>
        <w:spacing w:after="0" w:line="240" w:lineRule="auto"/>
      </w:pPr>
      <w:r>
        <w:separator/>
      </w:r>
    </w:p>
  </w:footnote>
  <w:footnote w:type="continuationSeparator" w:id="0">
    <w:p w14:paraId="51D60E0F" w14:textId="77777777" w:rsidR="00AE54FF" w:rsidRDefault="00AE54FF" w:rsidP="00CD39FD">
      <w:pPr>
        <w:spacing w:after="0" w:line="240" w:lineRule="auto"/>
      </w:pPr>
      <w:r>
        <w:continuationSeparator/>
      </w:r>
    </w:p>
  </w:footnote>
  <w:footnote w:type="continuationNotice" w:id="1">
    <w:p w14:paraId="67DF24FE" w14:textId="77777777" w:rsidR="00AE54FF" w:rsidRDefault="00AE54FF">
      <w:pPr>
        <w:spacing w:after="0" w:line="240" w:lineRule="auto"/>
      </w:pPr>
    </w:p>
  </w:footnote>
  <w:footnote w:id="2">
    <w:p w14:paraId="4A8417F2" w14:textId="7BABA680" w:rsidR="00AF3BC7" w:rsidRDefault="00AF3BC7">
      <w:pPr>
        <w:pStyle w:val="FootnoteText"/>
      </w:pPr>
      <w:r>
        <w:rPr>
          <w:rStyle w:val="FootnoteReference"/>
        </w:rPr>
        <w:footnoteRef/>
      </w:r>
      <w:r>
        <w:t xml:space="preserve"> </w:t>
      </w:r>
      <w:r w:rsidR="00DF3581" w:rsidRPr="00DF3581">
        <w:t xml:space="preserve">In its </w:t>
      </w:r>
      <w:hyperlink r:id="rId1" w:history="1">
        <w:r w:rsidR="00DF3581" w:rsidRPr="008E588A">
          <w:rPr>
            <w:rStyle w:val="Hyperlink"/>
          </w:rPr>
          <w:t>NDC 2020 – 2030 Update</w:t>
        </w:r>
      </w:hyperlink>
      <w:r w:rsidR="00DF3581" w:rsidRPr="00DF3581">
        <w:t>, Kenya reaffirms its commitment to reduce greenhouse gas emissions by 32% below Business As Usual by 2030.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38777D" w14:textId="747BEEBA" w:rsidR="004E5AEB" w:rsidRDefault="00CC49FF">
    <w:pPr>
      <w:pStyle w:val="Header"/>
    </w:pPr>
    <w:r>
      <w:rPr>
        <w:noProof/>
      </w:rPr>
      <mc:AlternateContent>
        <mc:Choice Requires="wps">
          <w:drawing>
            <wp:anchor distT="0" distB="0" distL="114300" distR="114300" simplePos="0" relativeHeight="251658241" behindDoc="1" locked="0" layoutInCell="0" allowOverlap="1" wp14:anchorId="7CA2E5B2" wp14:editId="40115952">
              <wp:simplePos x="0" y="0"/>
              <wp:positionH relativeFrom="margin">
                <wp:align>center</wp:align>
              </wp:positionH>
              <wp:positionV relativeFrom="margin">
                <wp:align>center</wp:align>
              </wp:positionV>
              <wp:extent cx="5050790" cy="3030220"/>
              <wp:effectExtent l="0" t="0" r="0" b="0"/>
              <wp:wrapNone/>
              <wp:docPr id="1933870802" name="Text Box 1933870802"/>
              <wp:cNvGraphicFramePr>
                <a:graphicFrameLocks xmlns:a="http://schemas.openxmlformats.org/drawingml/2006/main" noGrp="1" noChangeAspect="1" noResize="1"/>
              </wp:cNvGraphicFramePr>
              <a:graphic xmlns:a="http://schemas.openxmlformats.org/drawingml/2006/main">
                <a:graphicData uri="http://schemas.microsoft.com/office/word/2010/wordprocessingShape">
                  <wps:wsp>
                    <wps:cNvSpPr txBox="1">
                      <a:spLocks noGrp="1" noRot="1" noChangeAspect="1" noResize="1" noEditPoints="1" noAdjustHandles="1" noChangeArrowheads="1" noChangeShapeType="1" noTextEdit="1"/>
                    </wps:cNvSpPr>
                    <wps:spPr bwMode="auto">
                      <a:xfrm rot="18900000">
                        <a:off x="0" y="0"/>
                        <a:ext cx="5050790" cy="3030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6D6E27F"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xmlns="">
          <w:pict>
            <v:shapetype w14:anchorId="7CA2E5B2" id="_x0000_t202" coordsize="21600,21600" o:spt="202" path="m,l,21600r21600,l21600,xe">
              <v:stroke joinstyle="miter"/>
              <v:path gradientshapeok="t" o:connecttype="rect"/>
            </v:shapetype>
            <v:shape id="Text Box 1933870802" o:spid="_x0000_s1026" type="#_x0000_t202" style="position:absolute;margin-left:0;margin-top:0;width:397.7pt;height:238.6pt;rotation:-45;z-index:-251658239;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" o:allowincell="f" filled="f" stroked="f">
              <v:stroke joinstyle="round"/>
              <o:lock v:ext="edit" rotation="t" aspectratio="t" verticies="t" adjusthandles="t" grouping="t" shapetype="t"/>
              <v:textbox>
                <w:txbxContent>
                  <w:p w14:paraId="06D6E27F"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A36728" w14:textId="54B79818" w:rsidR="005C02CD" w:rsidRDefault="00CC49FF">
    <w:pPr>
      <w:pStyle w:val="Header"/>
      <w:jc w:val="center"/>
    </w:pPr>
    <w:r>
      <w:rPr>
        <w:noProof/>
      </w:rPr>
      <mc:AlternateContent>
        <mc:Choice Requires="wps">
          <w:drawing>
            <wp:anchor distT="0" distB="0" distL="114300" distR="114300" simplePos="0" relativeHeight="251658242" behindDoc="1" locked="0" layoutInCell="0" allowOverlap="1" wp14:anchorId="7C2B3F35" wp14:editId="35DE9028">
              <wp:simplePos x="0" y="0"/>
              <wp:positionH relativeFrom="margin">
                <wp:align>center</wp:align>
              </wp:positionH>
              <wp:positionV relativeFrom="margin">
                <wp:align>center</wp:align>
              </wp:positionV>
              <wp:extent cx="5050790" cy="3030220"/>
              <wp:effectExtent l="0" t="0" r="0" b="0"/>
              <wp:wrapNone/>
              <wp:docPr id="1821305593" name="Text Box 1821305593"/>
              <wp:cNvGraphicFramePr>
                <a:graphicFrameLocks xmlns:a="http://schemas.openxmlformats.org/drawingml/2006/main" noGrp="1" noChangeAspect="1" noResize="1"/>
              </wp:cNvGraphicFramePr>
              <a:graphic xmlns:a="http://schemas.openxmlformats.org/drawingml/2006/main">
                <a:graphicData uri="http://schemas.microsoft.com/office/word/2010/wordprocessingShape">
                  <wps:wsp>
                    <wps:cNvSpPr txBox="1">
                      <a:spLocks noGrp="1" noRot="1" noChangeAspect="1" noResize="1" noEditPoints="1" noAdjustHandles="1" noChangeArrowheads="1" noChangeShapeType="1" noTextEdit="1"/>
                    </wps:cNvSpPr>
                    <wps:spPr bwMode="auto">
                      <a:xfrm rot="18900000">
                        <a:off x="0" y="0"/>
                        <a:ext cx="5050790" cy="3030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66B51CF"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xmlns="">
          <w:pict>
            <v:shapetype w14:anchorId="7C2B3F35" id="_x0000_t202" coordsize="21600,21600" o:spt="202" path="m,l,21600r21600,l21600,xe">
              <v:stroke joinstyle="miter"/>
              <v:path gradientshapeok="t" o:connecttype="rect"/>
            </v:shapetype>
            <v:shape id="Text Box 1821305593" o:spid="_x0000_s1027" type="#_x0000_t202" style="position:absolute;left:0;text-align:left;margin-left:0;margin-top:0;width:397.7pt;height:238.6pt;rotation:-45;z-index:-25165823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" o:allowincell="f" filled="f" stroked="f">
              <v:stroke joinstyle="round"/>
              <o:lock v:ext="edit" rotation="t" aspectratio="t" verticies="t" adjusthandles="t" grouping="t" shapetype="t"/>
              <v:textbox>
                <w:txbxContent>
                  <w:p w14:paraId="466B51CF"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v:textbox>
              <w10:wrap anchorx="margin" anchory="margin"/>
            </v:shape>
          </w:pict>
        </mc:Fallback>
      </mc:AlternateContent>
    </w:r>
  </w:p>
  <w:p w14:paraId="2EFF84D9" w14:textId="77777777" w:rsidR="005C02CD" w:rsidRDefault="005C02C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4FF892" w14:textId="53F0DD64" w:rsidR="004E5AEB" w:rsidRDefault="00CC49FF">
    <w:pPr>
      <w:pStyle w:val="Header"/>
    </w:pPr>
    <w:r>
      <w:rPr>
        <w:noProof/>
      </w:rPr>
      <mc:AlternateContent>
        <mc:Choice Requires="wps">
          <w:drawing>
            <wp:anchor distT="0" distB="0" distL="114300" distR="114300" simplePos="0" relativeHeight="251658240" behindDoc="1" locked="0" layoutInCell="0" allowOverlap="1" wp14:anchorId="3F375B25" wp14:editId="2ABC555E">
              <wp:simplePos x="0" y="0"/>
              <wp:positionH relativeFrom="margin">
                <wp:align>center</wp:align>
              </wp:positionH>
              <wp:positionV relativeFrom="margin">
                <wp:align>center</wp:align>
              </wp:positionV>
              <wp:extent cx="5050790" cy="3030220"/>
              <wp:effectExtent l="0" t="0" r="0" b="0"/>
              <wp:wrapNone/>
              <wp:docPr id="1699083768" name="Text Box 1699083768"/>
              <wp:cNvGraphicFramePr>
                <a:graphicFrameLocks xmlns:a="http://schemas.openxmlformats.org/drawingml/2006/main" noGrp="1" noChangeAspect="1" noResize="1"/>
              </wp:cNvGraphicFramePr>
              <a:graphic xmlns:a="http://schemas.openxmlformats.org/drawingml/2006/main">
                <a:graphicData uri="http://schemas.microsoft.com/office/word/2010/wordprocessingShape">
                  <wps:wsp>
                    <wps:cNvSpPr txBox="1">
                      <a:spLocks noGrp="1" noRot="1" noChangeAspect="1" noResize="1" noEditPoints="1" noAdjustHandles="1" noChangeArrowheads="1" noChangeShapeType="1" noTextEdit="1"/>
                    </wps:cNvSpPr>
                    <wps:spPr bwMode="auto">
                      <a:xfrm rot="18900000">
                        <a:off x="0" y="0"/>
                        <a:ext cx="5050790" cy="3030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CFC3B25"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xmlns="">
          <w:pict>
            <v:shapetype w14:anchorId="3F375B25" id="_x0000_t202" coordsize="21600,21600" o:spt="202" path="m,l,21600r21600,l21600,xe">
              <v:stroke joinstyle="miter"/>
              <v:path gradientshapeok="t" o:connecttype="rect"/>
            </v:shapetype>
            <v:shape id="Text Box 1699083768" o:spid="_x0000_s1028" type="#_x0000_t202" style="position:absolute;margin-left:0;margin-top:0;width:397.7pt;height:238.6pt;rotation:-45;z-index:-25165824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" o:allowincell="f" filled="f" stroked="f">
              <v:stroke joinstyle="round"/>
              <o:lock v:ext="edit" rotation="t" aspectratio="t" verticies="t" adjusthandles="t" grouping="t" shapetype="t"/>
              <v:textbox>
                <w:txbxContent>
                  <w:p w14:paraId="7CFC3B25"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v:textbox>
              <w10:wrap anchorx="margin" anchory="margin"/>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A71B99" w14:textId="4479D3EC" w:rsidR="004E5AEB" w:rsidRDefault="00CC49FF">
    <w:pPr>
      <w:pStyle w:val="Header"/>
    </w:pPr>
    <w:r>
      <w:rPr>
        <w:noProof/>
      </w:rPr>
      <mc:AlternateContent>
        <mc:Choice Requires="wps">
          <w:drawing>
            <wp:anchor distT="0" distB="0" distL="114300" distR="114300" simplePos="0" relativeHeight="251658244" behindDoc="1" locked="0" layoutInCell="0" allowOverlap="1" wp14:anchorId="50F99EAC" wp14:editId="063A2DB7">
              <wp:simplePos x="0" y="0"/>
              <wp:positionH relativeFrom="margin">
                <wp:align>center</wp:align>
              </wp:positionH>
              <wp:positionV relativeFrom="margin">
                <wp:align>center</wp:align>
              </wp:positionV>
              <wp:extent cx="5050790" cy="3030220"/>
              <wp:effectExtent l="0" t="0" r="0" b="0"/>
              <wp:wrapNone/>
              <wp:docPr id="1687494995" name="Text Box 1687494995"/>
              <wp:cNvGraphicFramePr>
                <a:graphicFrameLocks xmlns:a="http://schemas.openxmlformats.org/drawingml/2006/main" noGrp="1" noChangeAspect="1" noResize="1"/>
              </wp:cNvGraphicFramePr>
              <a:graphic xmlns:a="http://schemas.openxmlformats.org/drawingml/2006/main">
                <a:graphicData uri="http://schemas.microsoft.com/office/word/2010/wordprocessingShape">
                  <wps:wsp>
                    <wps:cNvSpPr txBox="1">
                      <a:spLocks noGrp="1" noRot="1" noChangeAspect="1" noResize="1" noEditPoints="1" noAdjustHandles="1" noChangeArrowheads="1" noChangeShapeType="1" noTextEdit="1"/>
                    </wps:cNvSpPr>
                    <wps:spPr bwMode="auto">
                      <a:xfrm rot="18900000">
                        <a:off x="0" y="0"/>
                        <a:ext cx="5050790" cy="3030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6FE792D"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xmlns="">
          <w:pict>
            <v:shapetype w14:anchorId="50F99EAC" id="_x0000_t202" coordsize="21600,21600" o:spt="202" path="m,l,21600r21600,l21600,xe">
              <v:stroke joinstyle="miter"/>
              <v:path gradientshapeok="t" o:connecttype="rect"/>
            </v:shapetype>
            <v:shape id="Text Box 1687494995" o:spid="_x0000_s1029" type="#_x0000_t202" style="position:absolute;margin-left:0;margin-top:0;width:397.7pt;height:238.6pt;rotation:-45;z-index:-25165823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" o:allowincell="f" filled="f" stroked="f">
              <v:stroke joinstyle="round"/>
              <o:lock v:ext="edit" rotation="t" aspectratio="t" verticies="t" adjusthandles="t" grouping="t" shapetype="t"/>
              <v:textbox>
                <w:txbxContent>
                  <w:p w14:paraId="16FE792D"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v:textbox>
              <w10:wrap anchorx="margin" anchory="margin"/>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A5FA6B" w14:textId="37C99C7F" w:rsidR="004E5AEB" w:rsidRDefault="00CC49FF">
    <w:pPr>
      <w:pStyle w:val="Header"/>
    </w:pPr>
    <w:r>
      <w:rPr>
        <w:noProof/>
      </w:rPr>
      <mc:AlternateContent>
        <mc:Choice Requires="wps">
          <w:drawing>
            <wp:anchor distT="0" distB="0" distL="114300" distR="114300" simplePos="0" relativeHeight="251658245" behindDoc="1" locked="0" layoutInCell="0" allowOverlap="1" wp14:anchorId="45E90E38" wp14:editId="5EEB3EAA">
              <wp:simplePos x="0" y="0"/>
              <wp:positionH relativeFrom="margin">
                <wp:align>center</wp:align>
              </wp:positionH>
              <wp:positionV relativeFrom="margin">
                <wp:align>center</wp:align>
              </wp:positionV>
              <wp:extent cx="5050790" cy="3030220"/>
              <wp:effectExtent l="0" t="0" r="0" b="0"/>
              <wp:wrapNone/>
              <wp:docPr id="456861076" name="Text Box 456861076"/>
              <wp:cNvGraphicFramePr>
                <a:graphicFrameLocks xmlns:a="http://schemas.openxmlformats.org/drawingml/2006/main" noGrp="1" noChangeAspect="1" noResize="1"/>
              </wp:cNvGraphicFramePr>
              <a:graphic xmlns:a="http://schemas.openxmlformats.org/drawingml/2006/main">
                <a:graphicData uri="http://schemas.microsoft.com/office/word/2010/wordprocessingShape">
                  <wps:wsp>
                    <wps:cNvSpPr txBox="1">
                      <a:spLocks noGrp="1" noRot="1" noChangeAspect="1" noResize="1" noEditPoints="1" noAdjustHandles="1" noChangeArrowheads="1" noChangeShapeType="1" noTextEdit="1"/>
                    </wps:cNvSpPr>
                    <wps:spPr bwMode="auto">
                      <a:xfrm rot="18900000">
                        <a:off x="0" y="0"/>
                        <a:ext cx="5050790" cy="3030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0494C12"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xmlns="">
          <w:pict>
            <v:shapetype w14:anchorId="45E90E38" id="_x0000_t202" coordsize="21600,21600" o:spt="202" path="m,l,21600r21600,l21600,xe">
              <v:stroke joinstyle="miter"/>
              <v:path gradientshapeok="t" o:connecttype="rect"/>
            </v:shapetype>
            <v:shape id="Text Box 456861076" o:spid="_x0000_s1030" type="#_x0000_t202" style="position:absolute;margin-left:0;margin-top:0;width:397.7pt;height:238.6pt;rotation:-45;z-index:-251658235;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" o:allowincell="f" filled="f" stroked="f">
              <v:stroke joinstyle="round"/>
              <o:lock v:ext="edit" rotation="t" aspectratio="t" verticies="t" adjusthandles="t" grouping="t" shapetype="t"/>
              <v:textbox>
                <w:txbxContent>
                  <w:p w14:paraId="30494C12"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v:textbox>
              <w10:wrap anchorx="margin" anchory="margin"/>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994AA1" w14:textId="627EC619" w:rsidR="004E5AEB" w:rsidRDefault="00CC49FF">
    <w:pPr>
      <w:pStyle w:val="Header"/>
    </w:pPr>
    <w:r>
      <w:rPr>
        <w:noProof/>
      </w:rPr>
      <mc:AlternateContent>
        <mc:Choice Requires="wps">
          <w:drawing>
            <wp:anchor distT="0" distB="0" distL="114300" distR="114300" simplePos="0" relativeHeight="251658243" behindDoc="1" locked="0" layoutInCell="0" allowOverlap="1" wp14:anchorId="67B025F0" wp14:editId="1AE09F4B">
              <wp:simplePos x="0" y="0"/>
              <wp:positionH relativeFrom="margin">
                <wp:align>center</wp:align>
              </wp:positionH>
              <wp:positionV relativeFrom="margin">
                <wp:align>center</wp:align>
              </wp:positionV>
              <wp:extent cx="5050790" cy="3030220"/>
              <wp:effectExtent l="0" t="0" r="0" b="0"/>
              <wp:wrapNone/>
              <wp:docPr id="633673444" name="Text Box 633673444"/>
              <wp:cNvGraphicFramePr>
                <a:graphicFrameLocks xmlns:a="http://schemas.openxmlformats.org/drawingml/2006/main" noGrp="1" noChangeAspect="1" noResize="1"/>
              </wp:cNvGraphicFramePr>
              <a:graphic xmlns:a="http://schemas.openxmlformats.org/drawingml/2006/main">
                <a:graphicData uri="http://schemas.microsoft.com/office/word/2010/wordprocessingShape">
                  <wps:wsp>
                    <wps:cNvSpPr txBox="1">
                      <a:spLocks noGrp="1" noRot="1" noChangeAspect="1" noResize="1" noEditPoints="1" noAdjustHandles="1" noChangeArrowheads="1" noChangeShapeType="1" noTextEdit="1"/>
                    </wps:cNvSpPr>
                    <wps:spPr bwMode="auto">
                      <a:xfrm rot="18900000">
                        <a:off x="0" y="0"/>
                        <a:ext cx="5050790" cy="303022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81D8B90"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xmlns="">
          <w:pict>
            <v:shapetype w14:anchorId="67B025F0" id="_x0000_t202" coordsize="21600,21600" o:spt="202" path="m,l,21600r21600,l21600,xe">
              <v:stroke joinstyle="miter"/>
              <v:path gradientshapeok="t" o:connecttype="rect"/>
            </v:shapetype>
            <v:shape id="Text Box 633673444" o:spid="_x0000_s1031" type="#_x0000_t202" style="position:absolute;margin-left:0;margin-top:0;width:397.7pt;height:238.6pt;rotation:-45;z-index:-251658237;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" o:allowincell="f" filled="f" stroked="f">
              <v:stroke joinstyle="round"/>
              <o:lock v:ext="edit" rotation="t" aspectratio="t" verticies="t" adjusthandles="t" grouping="t" shapetype="t"/>
              <v:textbox>
                <w:txbxContent>
                  <w:p w14:paraId="281D8B90" w14:textId="77777777" w:rsidR="00CC49FF" w:rsidRPr="002D0F97" w:rsidRDefault="00CC49FF" w:rsidP="00CC49FF">
                    <w:pPr>
                      <w:jc w:val="center"/>
                      <w:rPr>
                        <w:rFonts w:ascii="Calibri" w:hAnsi="Calibri"/>
                        <w:color w:val="C0C0C0"/>
                        <w:kern w:val="0"/>
                        <w:sz w:val="72"/>
                        <w14:textFill>
                          <w14:solidFill>
                            <w14:srgbClr w14:val="C0C0C0">
                              <w14:alpha w14:val="50000"/>
                            </w14:srgbClr>
                          </w14:solidFill>
                        </w14:textFill>
                        <w14:ligatures w14:val="none"/>
                      </w:rPr>
                    </w:pPr>
                    <w:r w:rsidRPr="002D0F97">
                      <w:rPr>
                        <w:rFonts w:ascii="Calibri" w:hAnsi="Calibri"/>
                        <w:color w:val="C0C0C0"/>
                        <w:sz w:val="72"/>
                        <w14:textFill>
                          <w14:solidFill>
                            <w14:srgbClr w14:val="C0C0C0">
                              <w14:alpha w14:val="50000"/>
                            </w14:srgbClr>
                          </w14:solidFill>
                        </w14:textFill>
                      </w:rPr>
                      <w:t>DRAFT</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CC2D43"/>
    <w:multiLevelType w:val="hybridMultilevel"/>
    <w:tmpl w:val="F768F32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 w15:restartNumberingAfterBreak="0">
    <w:nsid w:val="112E4D40"/>
    <w:multiLevelType w:val="hybridMultilevel"/>
    <w:tmpl w:val="B978CD2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 w15:restartNumberingAfterBreak="0">
    <w:nsid w:val="34264681"/>
    <w:multiLevelType w:val="hybridMultilevel"/>
    <w:tmpl w:val="2FB6D56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 w15:restartNumberingAfterBreak="0">
    <w:nsid w:val="388F71F6"/>
    <w:multiLevelType w:val="hybridMultilevel"/>
    <w:tmpl w:val="83A6DD3A"/>
    <w:lvl w:ilvl="0" w:tplc="08090001">
      <w:start w:val="1"/>
      <w:numFmt w:val="bullet"/>
      <w:lvlText w:val=""/>
      <w:lvlJc w:val="left"/>
      <w:pPr>
        <w:ind w:left="825" w:hanging="360"/>
      </w:pPr>
      <w:rPr>
        <w:rFonts w:ascii="Symbol" w:hAnsi="Symbol" w:hint="default"/>
      </w:rPr>
    </w:lvl>
    <w:lvl w:ilvl="1" w:tplc="08090003" w:tentative="1">
      <w:start w:val="1"/>
      <w:numFmt w:val="bullet"/>
      <w:lvlText w:val="o"/>
      <w:lvlJc w:val="left"/>
      <w:pPr>
        <w:ind w:left="1545" w:hanging="360"/>
      </w:pPr>
      <w:rPr>
        <w:rFonts w:ascii="Courier New" w:hAnsi="Courier New" w:cs="Courier New" w:hint="default"/>
      </w:rPr>
    </w:lvl>
    <w:lvl w:ilvl="2" w:tplc="08090005" w:tentative="1">
      <w:start w:val="1"/>
      <w:numFmt w:val="bullet"/>
      <w:lvlText w:val=""/>
      <w:lvlJc w:val="left"/>
      <w:pPr>
        <w:ind w:left="2265" w:hanging="360"/>
      </w:pPr>
      <w:rPr>
        <w:rFonts w:ascii="Wingdings" w:hAnsi="Wingdings" w:hint="default"/>
      </w:rPr>
    </w:lvl>
    <w:lvl w:ilvl="3" w:tplc="08090001" w:tentative="1">
      <w:start w:val="1"/>
      <w:numFmt w:val="bullet"/>
      <w:lvlText w:val=""/>
      <w:lvlJc w:val="left"/>
      <w:pPr>
        <w:ind w:left="2985" w:hanging="360"/>
      </w:pPr>
      <w:rPr>
        <w:rFonts w:ascii="Symbol" w:hAnsi="Symbol" w:hint="default"/>
      </w:rPr>
    </w:lvl>
    <w:lvl w:ilvl="4" w:tplc="08090003" w:tentative="1">
      <w:start w:val="1"/>
      <w:numFmt w:val="bullet"/>
      <w:lvlText w:val="o"/>
      <w:lvlJc w:val="left"/>
      <w:pPr>
        <w:ind w:left="3705" w:hanging="360"/>
      </w:pPr>
      <w:rPr>
        <w:rFonts w:ascii="Courier New" w:hAnsi="Courier New" w:cs="Courier New" w:hint="default"/>
      </w:rPr>
    </w:lvl>
    <w:lvl w:ilvl="5" w:tplc="08090005" w:tentative="1">
      <w:start w:val="1"/>
      <w:numFmt w:val="bullet"/>
      <w:lvlText w:val=""/>
      <w:lvlJc w:val="left"/>
      <w:pPr>
        <w:ind w:left="4425" w:hanging="360"/>
      </w:pPr>
      <w:rPr>
        <w:rFonts w:ascii="Wingdings" w:hAnsi="Wingdings" w:hint="default"/>
      </w:rPr>
    </w:lvl>
    <w:lvl w:ilvl="6" w:tplc="08090001" w:tentative="1">
      <w:start w:val="1"/>
      <w:numFmt w:val="bullet"/>
      <w:lvlText w:val=""/>
      <w:lvlJc w:val="left"/>
      <w:pPr>
        <w:ind w:left="5145" w:hanging="360"/>
      </w:pPr>
      <w:rPr>
        <w:rFonts w:ascii="Symbol" w:hAnsi="Symbol" w:hint="default"/>
      </w:rPr>
    </w:lvl>
    <w:lvl w:ilvl="7" w:tplc="08090003" w:tentative="1">
      <w:start w:val="1"/>
      <w:numFmt w:val="bullet"/>
      <w:lvlText w:val="o"/>
      <w:lvlJc w:val="left"/>
      <w:pPr>
        <w:ind w:left="5865" w:hanging="360"/>
      </w:pPr>
      <w:rPr>
        <w:rFonts w:ascii="Courier New" w:hAnsi="Courier New" w:cs="Courier New" w:hint="default"/>
      </w:rPr>
    </w:lvl>
    <w:lvl w:ilvl="8" w:tplc="08090005" w:tentative="1">
      <w:start w:val="1"/>
      <w:numFmt w:val="bullet"/>
      <w:lvlText w:val=""/>
      <w:lvlJc w:val="left"/>
      <w:pPr>
        <w:ind w:left="6585" w:hanging="360"/>
      </w:pPr>
      <w:rPr>
        <w:rFonts w:ascii="Wingdings" w:hAnsi="Wingdings" w:hint="default"/>
      </w:rPr>
    </w:lvl>
  </w:abstractNum>
  <w:abstractNum w:abstractNumId="4" w15:restartNumberingAfterBreak="0">
    <w:nsid w:val="3EC83C35"/>
    <w:multiLevelType w:val="hybridMultilevel"/>
    <w:tmpl w:val="0A4410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A141799"/>
    <w:multiLevelType w:val="hybridMultilevel"/>
    <w:tmpl w:val="EEB062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CC859FB"/>
    <w:multiLevelType w:val="multilevel"/>
    <w:tmpl w:val="61B269F6"/>
    <w:lvl w:ilvl="0">
      <w:start w:val="1"/>
      <w:numFmt w:val="decimal"/>
      <w:lvlText w:val="3.%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532C7801"/>
    <w:multiLevelType w:val="hybridMultilevel"/>
    <w:tmpl w:val="1CFEC0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53E83173"/>
    <w:multiLevelType w:val="multilevel"/>
    <w:tmpl w:val="F92EDFE8"/>
    <w:lvl w:ilvl="0">
      <w:start w:val="1"/>
      <w:numFmt w:val="decimal"/>
      <w:lvlText w:val="1.%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57A5290F"/>
    <w:multiLevelType w:val="hybridMultilevel"/>
    <w:tmpl w:val="D46CBF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AA415CC"/>
    <w:multiLevelType w:val="hybridMultilevel"/>
    <w:tmpl w:val="D11EE4A6"/>
    <w:lvl w:ilvl="0" w:tplc="33907736">
      <w:start w:val="1"/>
      <w:numFmt w:val="upperLetter"/>
      <w:lvlText w:val="%1)"/>
      <w:lvlJc w:val="left"/>
      <w:pPr>
        <w:ind w:left="720" w:hanging="360"/>
      </w:pPr>
      <w:rPr>
        <w:rFonts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7B1B0D11"/>
    <w:multiLevelType w:val="multilevel"/>
    <w:tmpl w:val="200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705717490">
    <w:abstractNumId w:val="1"/>
  </w:num>
  <w:num w:numId="2" w16cid:durableId="1141465592">
    <w:abstractNumId w:val="2"/>
  </w:num>
  <w:num w:numId="3" w16cid:durableId="613636430">
    <w:abstractNumId w:val="0"/>
  </w:num>
  <w:num w:numId="4" w16cid:durableId="1816215738">
    <w:abstractNumId w:val="7"/>
  </w:num>
  <w:num w:numId="5" w16cid:durableId="878473295">
    <w:abstractNumId w:val="9"/>
  </w:num>
  <w:num w:numId="6" w16cid:durableId="701133779">
    <w:abstractNumId w:val="4"/>
  </w:num>
  <w:num w:numId="7" w16cid:durableId="272060029">
    <w:abstractNumId w:val="5"/>
  </w:num>
  <w:num w:numId="8" w16cid:durableId="1197428749">
    <w:abstractNumId w:val="3"/>
  </w:num>
  <w:num w:numId="9" w16cid:durableId="1869878502">
    <w:abstractNumId w:val="11"/>
  </w:num>
  <w:num w:numId="10" w16cid:durableId="1194810616">
    <w:abstractNumId w:val="8"/>
  </w:num>
  <w:num w:numId="11" w16cid:durableId="1078357839">
    <w:abstractNumId w:val="6"/>
  </w:num>
  <w:num w:numId="12" w16cid:durableId="227618222">
    <w:abstractNumId w:val="1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119B1"/>
    <w:rsid w:val="000067A1"/>
    <w:rsid w:val="00013C52"/>
    <w:rsid w:val="00024509"/>
    <w:rsid w:val="00026BC5"/>
    <w:rsid w:val="000332F6"/>
    <w:rsid w:val="00033D65"/>
    <w:rsid w:val="00043932"/>
    <w:rsid w:val="00043BA6"/>
    <w:rsid w:val="00051932"/>
    <w:rsid w:val="00061AAC"/>
    <w:rsid w:val="00072587"/>
    <w:rsid w:val="000752AD"/>
    <w:rsid w:val="00084127"/>
    <w:rsid w:val="000845E4"/>
    <w:rsid w:val="00091FBB"/>
    <w:rsid w:val="00093ED7"/>
    <w:rsid w:val="00097BC9"/>
    <w:rsid w:val="000A0493"/>
    <w:rsid w:val="000A5C39"/>
    <w:rsid w:val="000B12B2"/>
    <w:rsid w:val="000C0E9C"/>
    <w:rsid w:val="000C108D"/>
    <w:rsid w:val="000D4274"/>
    <w:rsid w:val="000E34CC"/>
    <w:rsid w:val="000E41FD"/>
    <w:rsid w:val="000E7BE4"/>
    <w:rsid w:val="000F40E2"/>
    <w:rsid w:val="000F7597"/>
    <w:rsid w:val="00100DB9"/>
    <w:rsid w:val="00105AE6"/>
    <w:rsid w:val="00106338"/>
    <w:rsid w:val="001137F7"/>
    <w:rsid w:val="00125AE9"/>
    <w:rsid w:val="00135189"/>
    <w:rsid w:val="00145E8B"/>
    <w:rsid w:val="0015009A"/>
    <w:rsid w:val="00161849"/>
    <w:rsid w:val="0017369A"/>
    <w:rsid w:val="00180834"/>
    <w:rsid w:val="00182BA6"/>
    <w:rsid w:val="00183047"/>
    <w:rsid w:val="00184A31"/>
    <w:rsid w:val="0018786A"/>
    <w:rsid w:val="00190D38"/>
    <w:rsid w:val="0019187F"/>
    <w:rsid w:val="0019739F"/>
    <w:rsid w:val="001A1BE2"/>
    <w:rsid w:val="001A3F8D"/>
    <w:rsid w:val="001B13FD"/>
    <w:rsid w:val="001B6BCD"/>
    <w:rsid w:val="001C0A1A"/>
    <w:rsid w:val="001C266D"/>
    <w:rsid w:val="001D20BB"/>
    <w:rsid w:val="001D353D"/>
    <w:rsid w:val="001E2BE5"/>
    <w:rsid w:val="001E494C"/>
    <w:rsid w:val="00207CD7"/>
    <w:rsid w:val="002104B3"/>
    <w:rsid w:val="00212677"/>
    <w:rsid w:val="002151E5"/>
    <w:rsid w:val="00217B5C"/>
    <w:rsid w:val="00222EBD"/>
    <w:rsid w:val="00240168"/>
    <w:rsid w:val="00292C74"/>
    <w:rsid w:val="00295938"/>
    <w:rsid w:val="002B453C"/>
    <w:rsid w:val="002D0F97"/>
    <w:rsid w:val="002D25DE"/>
    <w:rsid w:val="002D65F4"/>
    <w:rsid w:val="002D69F0"/>
    <w:rsid w:val="002E0886"/>
    <w:rsid w:val="002E2C45"/>
    <w:rsid w:val="002E4136"/>
    <w:rsid w:val="00307EBC"/>
    <w:rsid w:val="003175F4"/>
    <w:rsid w:val="0032403D"/>
    <w:rsid w:val="003273A3"/>
    <w:rsid w:val="00333986"/>
    <w:rsid w:val="00336A99"/>
    <w:rsid w:val="00345C58"/>
    <w:rsid w:val="0034783D"/>
    <w:rsid w:val="0035174D"/>
    <w:rsid w:val="003608D2"/>
    <w:rsid w:val="00364B18"/>
    <w:rsid w:val="00365883"/>
    <w:rsid w:val="00373420"/>
    <w:rsid w:val="003743D4"/>
    <w:rsid w:val="003854AF"/>
    <w:rsid w:val="00391ADB"/>
    <w:rsid w:val="00392863"/>
    <w:rsid w:val="003A271E"/>
    <w:rsid w:val="003A273C"/>
    <w:rsid w:val="003A33D6"/>
    <w:rsid w:val="003A4130"/>
    <w:rsid w:val="003A644B"/>
    <w:rsid w:val="003C36A0"/>
    <w:rsid w:val="003C7B07"/>
    <w:rsid w:val="003D6338"/>
    <w:rsid w:val="003E1DDB"/>
    <w:rsid w:val="003E35A7"/>
    <w:rsid w:val="003E677A"/>
    <w:rsid w:val="003F06F3"/>
    <w:rsid w:val="004113A2"/>
    <w:rsid w:val="004212F5"/>
    <w:rsid w:val="0043420E"/>
    <w:rsid w:val="00451D53"/>
    <w:rsid w:val="0046118E"/>
    <w:rsid w:val="00462ED9"/>
    <w:rsid w:val="004635B3"/>
    <w:rsid w:val="0047269A"/>
    <w:rsid w:val="00474925"/>
    <w:rsid w:val="00491C88"/>
    <w:rsid w:val="004B11C6"/>
    <w:rsid w:val="004B3822"/>
    <w:rsid w:val="004B6375"/>
    <w:rsid w:val="004C012C"/>
    <w:rsid w:val="004C289A"/>
    <w:rsid w:val="004C2AC0"/>
    <w:rsid w:val="004C2CD2"/>
    <w:rsid w:val="004C3C42"/>
    <w:rsid w:val="004C5EB7"/>
    <w:rsid w:val="004D0530"/>
    <w:rsid w:val="004D130D"/>
    <w:rsid w:val="004E0368"/>
    <w:rsid w:val="004E2A43"/>
    <w:rsid w:val="004E2EBA"/>
    <w:rsid w:val="004E5AEB"/>
    <w:rsid w:val="004E6454"/>
    <w:rsid w:val="004E6961"/>
    <w:rsid w:val="004E78E0"/>
    <w:rsid w:val="004F0E7C"/>
    <w:rsid w:val="004F0F3E"/>
    <w:rsid w:val="004F5088"/>
    <w:rsid w:val="004F6A01"/>
    <w:rsid w:val="004F6D66"/>
    <w:rsid w:val="00500887"/>
    <w:rsid w:val="005104B1"/>
    <w:rsid w:val="0051591C"/>
    <w:rsid w:val="00543F9B"/>
    <w:rsid w:val="00545780"/>
    <w:rsid w:val="00546BD3"/>
    <w:rsid w:val="0055293C"/>
    <w:rsid w:val="00557E4B"/>
    <w:rsid w:val="00573E3A"/>
    <w:rsid w:val="00584085"/>
    <w:rsid w:val="0058525C"/>
    <w:rsid w:val="00593F90"/>
    <w:rsid w:val="00594D8D"/>
    <w:rsid w:val="005A232F"/>
    <w:rsid w:val="005B0DCB"/>
    <w:rsid w:val="005B248C"/>
    <w:rsid w:val="005C02CD"/>
    <w:rsid w:val="005C2657"/>
    <w:rsid w:val="005C353F"/>
    <w:rsid w:val="005E0EF5"/>
    <w:rsid w:val="005E6259"/>
    <w:rsid w:val="005E6C6D"/>
    <w:rsid w:val="005F0781"/>
    <w:rsid w:val="00601964"/>
    <w:rsid w:val="00605678"/>
    <w:rsid w:val="00610A46"/>
    <w:rsid w:val="00617778"/>
    <w:rsid w:val="00623A8E"/>
    <w:rsid w:val="00627326"/>
    <w:rsid w:val="00630360"/>
    <w:rsid w:val="006329B9"/>
    <w:rsid w:val="00645FAA"/>
    <w:rsid w:val="00647A6A"/>
    <w:rsid w:val="00652B70"/>
    <w:rsid w:val="006643DF"/>
    <w:rsid w:val="0066484D"/>
    <w:rsid w:val="0067462F"/>
    <w:rsid w:val="00683B15"/>
    <w:rsid w:val="00692BBB"/>
    <w:rsid w:val="006A2633"/>
    <w:rsid w:val="006A3BE1"/>
    <w:rsid w:val="006B1573"/>
    <w:rsid w:val="006B1940"/>
    <w:rsid w:val="006B49E2"/>
    <w:rsid w:val="006D00A8"/>
    <w:rsid w:val="006D1BA5"/>
    <w:rsid w:val="006D2739"/>
    <w:rsid w:val="006D5202"/>
    <w:rsid w:val="006D76F1"/>
    <w:rsid w:val="006E0099"/>
    <w:rsid w:val="006E240F"/>
    <w:rsid w:val="006F174F"/>
    <w:rsid w:val="006F6B82"/>
    <w:rsid w:val="00705270"/>
    <w:rsid w:val="007136F0"/>
    <w:rsid w:val="00713AFA"/>
    <w:rsid w:val="00714C62"/>
    <w:rsid w:val="00714C8E"/>
    <w:rsid w:val="00721530"/>
    <w:rsid w:val="00721985"/>
    <w:rsid w:val="0073348F"/>
    <w:rsid w:val="00733CA6"/>
    <w:rsid w:val="0073420C"/>
    <w:rsid w:val="007364BD"/>
    <w:rsid w:val="00736DB1"/>
    <w:rsid w:val="0074114B"/>
    <w:rsid w:val="0074349E"/>
    <w:rsid w:val="00745A71"/>
    <w:rsid w:val="007464F0"/>
    <w:rsid w:val="00747124"/>
    <w:rsid w:val="007608B5"/>
    <w:rsid w:val="00762C4A"/>
    <w:rsid w:val="00762D77"/>
    <w:rsid w:val="00767B33"/>
    <w:rsid w:val="0077501D"/>
    <w:rsid w:val="007874A4"/>
    <w:rsid w:val="007930A0"/>
    <w:rsid w:val="00796BD2"/>
    <w:rsid w:val="00796CAB"/>
    <w:rsid w:val="007B30EB"/>
    <w:rsid w:val="007B5364"/>
    <w:rsid w:val="007C1814"/>
    <w:rsid w:val="007D44BE"/>
    <w:rsid w:val="007E10A5"/>
    <w:rsid w:val="007E1EE6"/>
    <w:rsid w:val="007E75C6"/>
    <w:rsid w:val="008026A9"/>
    <w:rsid w:val="008120C5"/>
    <w:rsid w:val="008202BA"/>
    <w:rsid w:val="0082199A"/>
    <w:rsid w:val="00822F9F"/>
    <w:rsid w:val="008234EF"/>
    <w:rsid w:val="00827491"/>
    <w:rsid w:val="00832BA0"/>
    <w:rsid w:val="00833279"/>
    <w:rsid w:val="008416AB"/>
    <w:rsid w:val="00845C35"/>
    <w:rsid w:val="00855E6B"/>
    <w:rsid w:val="00856431"/>
    <w:rsid w:val="00857562"/>
    <w:rsid w:val="00857F61"/>
    <w:rsid w:val="008666A9"/>
    <w:rsid w:val="00867219"/>
    <w:rsid w:val="00876E53"/>
    <w:rsid w:val="00887450"/>
    <w:rsid w:val="008928A5"/>
    <w:rsid w:val="008A061F"/>
    <w:rsid w:val="008A0748"/>
    <w:rsid w:val="008A1943"/>
    <w:rsid w:val="008A4584"/>
    <w:rsid w:val="008A57CE"/>
    <w:rsid w:val="008B10D7"/>
    <w:rsid w:val="008B2180"/>
    <w:rsid w:val="008B2F81"/>
    <w:rsid w:val="008B510A"/>
    <w:rsid w:val="008C2008"/>
    <w:rsid w:val="008C276E"/>
    <w:rsid w:val="008D322F"/>
    <w:rsid w:val="008D5DB5"/>
    <w:rsid w:val="008D7ECE"/>
    <w:rsid w:val="008E588A"/>
    <w:rsid w:val="0090098C"/>
    <w:rsid w:val="009203D2"/>
    <w:rsid w:val="00942E3B"/>
    <w:rsid w:val="00944970"/>
    <w:rsid w:val="00953731"/>
    <w:rsid w:val="0095386F"/>
    <w:rsid w:val="00955B00"/>
    <w:rsid w:val="00956555"/>
    <w:rsid w:val="009579D1"/>
    <w:rsid w:val="009670F6"/>
    <w:rsid w:val="00975DE6"/>
    <w:rsid w:val="00976B6A"/>
    <w:rsid w:val="009806F6"/>
    <w:rsid w:val="00980B8D"/>
    <w:rsid w:val="009851B4"/>
    <w:rsid w:val="00985947"/>
    <w:rsid w:val="00995C3F"/>
    <w:rsid w:val="009A1B38"/>
    <w:rsid w:val="009B035F"/>
    <w:rsid w:val="009D312F"/>
    <w:rsid w:val="009D33A4"/>
    <w:rsid w:val="009D5B3A"/>
    <w:rsid w:val="009E1A05"/>
    <w:rsid w:val="009E2581"/>
    <w:rsid w:val="009E7B4D"/>
    <w:rsid w:val="009E7D6D"/>
    <w:rsid w:val="009F1ECD"/>
    <w:rsid w:val="009F413B"/>
    <w:rsid w:val="009F6FDF"/>
    <w:rsid w:val="00A02412"/>
    <w:rsid w:val="00A1453A"/>
    <w:rsid w:val="00A17CAD"/>
    <w:rsid w:val="00A41715"/>
    <w:rsid w:val="00A56AA9"/>
    <w:rsid w:val="00A73414"/>
    <w:rsid w:val="00A73DBC"/>
    <w:rsid w:val="00A742FD"/>
    <w:rsid w:val="00A80B55"/>
    <w:rsid w:val="00A96476"/>
    <w:rsid w:val="00AA4FA9"/>
    <w:rsid w:val="00AB0986"/>
    <w:rsid w:val="00AB4C96"/>
    <w:rsid w:val="00AB5BA4"/>
    <w:rsid w:val="00AC05FE"/>
    <w:rsid w:val="00AC1DFB"/>
    <w:rsid w:val="00AC47C3"/>
    <w:rsid w:val="00AD028A"/>
    <w:rsid w:val="00AE1E55"/>
    <w:rsid w:val="00AE22A0"/>
    <w:rsid w:val="00AE4790"/>
    <w:rsid w:val="00AE54FF"/>
    <w:rsid w:val="00AF3BC7"/>
    <w:rsid w:val="00B02ECB"/>
    <w:rsid w:val="00B1398E"/>
    <w:rsid w:val="00B15175"/>
    <w:rsid w:val="00B17ECF"/>
    <w:rsid w:val="00B2054F"/>
    <w:rsid w:val="00B2197C"/>
    <w:rsid w:val="00B27ABF"/>
    <w:rsid w:val="00B44B05"/>
    <w:rsid w:val="00B46ED0"/>
    <w:rsid w:val="00B62269"/>
    <w:rsid w:val="00B779EF"/>
    <w:rsid w:val="00B80F6A"/>
    <w:rsid w:val="00B90D2D"/>
    <w:rsid w:val="00B94B5D"/>
    <w:rsid w:val="00B9569B"/>
    <w:rsid w:val="00BA117F"/>
    <w:rsid w:val="00BA4704"/>
    <w:rsid w:val="00BB17CF"/>
    <w:rsid w:val="00BB3FFC"/>
    <w:rsid w:val="00BC0610"/>
    <w:rsid w:val="00BE2A16"/>
    <w:rsid w:val="00BF4C3F"/>
    <w:rsid w:val="00BF6803"/>
    <w:rsid w:val="00C240CB"/>
    <w:rsid w:val="00C34995"/>
    <w:rsid w:val="00C356E6"/>
    <w:rsid w:val="00C45143"/>
    <w:rsid w:val="00C459A6"/>
    <w:rsid w:val="00C50F5D"/>
    <w:rsid w:val="00C5340D"/>
    <w:rsid w:val="00C63717"/>
    <w:rsid w:val="00C65D7F"/>
    <w:rsid w:val="00C66441"/>
    <w:rsid w:val="00C8086E"/>
    <w:rsid w:val="00C81D07"/>
    <w:rsid w:val="00C84829"/>
    <w:rsid w:val="00C86BA1"/>
    <w:rsid w:val="00C90693"/>
    <w:rsid w:val="00C9227B"/>
    <w:rsid w:val="00CB527F"/>
    <w:rsid w:val="00CC0711"/>
    <w:rsid w:val="00CC1DDA"/>
    <w:rsid w:val="00CC49FF"/>
    <w:rsid w:val="00CC665C"/>
    <w:rsid w:val="00CD39FD"/>
    <w:rsid w:val="00CD4192"/>
    <w:rsid w:val="00CE0350"/>
    <w:rsid w:val="00CE2714"/>
    <w:rsid w:val="00CF021E"/>
    <w:rsid w:val="00CF05EC"/>
    <w:rsid w:val="00CF3266"/>
    <w:rsid w:val="00CF36D5"/>
    <w:rsid w:val="00CF3B2B"/>
    <w:rsid w:val="00CF5748"/>
    <w:rsid w:val="00D139BC"/>
    <w:rsid w:val="00D15C67"/>
    <w:rsid w:val="00D242CB"/>
    <w:rsid w:val="00D25F24"/>
    <w:rsid w:val="00D328B7"/>
    <w:rsid w:val="00D36178"/>
    <w:rsid w:val="00D3635A"/>
    <w:rsid w:val="00D36A16"/>
    <w:rsid w:val="00D45C09"/>
    <w:rsid w:val="00D45F5E"/>
    <w:rsid w:val="00D5282F"/>
    <w:rsid w:val="00D60D95"/>
    <w:rsid w:val="00D64200"/>
    <w:rsid w:val="00D66D02"/>
    <w:rsid w:val="00D717AF"/>
    <w:rsid w:val="00D719D8"/>
    <w:rsid w:val="00D8288A"/>
    <w:rsid w:val="00D95878"/>
    <w:rsid w:val="00DA35CC"/>
    <w:rsid w:val="00DA42AE"/>
    <w:rsid w:val="00DA7919"/>
    <w:rsid w:val="00DB2173"/>
    <w:rsid w:val="00DB25D4"/>
    <w:rsid w:val="00DB33C4"/>
    <w:rsid w:val="00DB4D8D"/>
    <w:rsid w:val="00DB4DDC"/>
    <w:rsid w:val="00DC0C4A"/>
    <w:rsid w:val="00DD211E"/>
    <w:rsid w:val="00DD6D40"/>
    <w:rsid w:val="00DE4B99"/>
    <w:rsid w:val="00DE511E"/>
    <w:rsid w:val="00DE5328"/>
    <w:rsid w:val="00DF2287"/>
    <w:rsid w:val="00DF2864"/>
    <w:rsid w:val="00DF3581"/>
    <w:rsid w:val="00DF3AB6"/>
    <w:rsid w:val="00DF5369"/>
    <w:rsid w:val="00E01724"/>
    <w:rsid w:val="00E02F34"/>
    <w:rsid w:val="00E33681"/>
    <w:rsid w:val="00E51984"/>
    <w:rsid w:val="00E61B2A"/>
    <w:rsid w:val="00E64C45"/>
    <w:rsid w:val="00E661A4"/>
    <w:rsid w:val="00E73470"/>
    <w:rsid w:val="00E73AD4"/>
    <w:rsid w:val="00E74DBA"/>
    <w:rsid w:val="00E81089"/>
    <w:rsid w:val="00E932B8"/>
    <w:rsid w:val="00EA5A0E"/>
    <w:rsid w:val="00EA6654"/>
    <w:rsid w:val="00EA7914"/>
    <w:rsid w:val="00EB2ADF"/>
    <w:rsid w:val="00EC1B14"/>
    <w:rsid w:val="00EC3087"/>
    <w:rsid w:val="00ED1F38"/>
    <w:rsid w:val="00ED2FAD"/>
    <w:rsid w:val="00EE1329"/>
    <w:rsid w:val="00EE492E"/>
    <w:rsid w:val="00EF297E"/>
    <w:rsid w:val="00EF39B6"/>
    <w:rsid w:val="00EF4E2A"/>
    <w:rsid w:val="00EF7224"/>
    <w:rsid w:val="00EF78D7"/>
    <w:rsid w:val="00F02A73"/>
    <w:rsid w:val="00F119B1"/>
    <w:rsid w:val="00F23562"/>
    <w:rsid w:val="00F25F33"/>
    <w:rsid w:val="00F36883"/>
    <w:rsid w:val="00F37DC5"/>
    <w:rsid w:val="00F45A6A"/>
    <w:rsid w:val="00F45F5B"/>
    <w:rsid w:val="00F50D48"/>
    <w:rsid w:val="00F53236"/>
    <w:rsid w:val="00F722F8"/>
    <w:rsid w:val="00F91DA1"/>
    <w:rsid w:val="00F934F9"/>
    <w:rsid w:val="00F97DCA"/>
    <w:rsid w:val="00F97E34"/>
    <w:rsid w:val="00FA17A5"/>
    <w:rsid w:val="00FB1C18"/>
    <w:rsid w:val="00FB4CAE"/>
    <w:rsid w:val="00FC12DD"/>
    <w:rsid w:val="00FC21FE"/>
    <w:rsid w:val="00FD6222"/>
    <w:rsid w:val="00FD7A47"/>
    <w:rsid w:val="00FE2C9D"/>
    <w:rsid w:val="00FF2CB1"/>
    <w:rsid w:val="00FF72A3"/>
    <w:rsid w:val="04EF6ABC"/>
    <w:rsid w:val="09089680"/>
    <w:rsid w:val="0B1FF1F6"/>
    <w:rsid w:val="1726D95D"/>
    <w:rsid w:val="1876ACDC"/>
    <w:rsid w:val="18C2A9BE"/>
    <w:rsid w:val="232B7769"/>
    <w:rsid w:val="281AA609"/>
    <w:rsid w:val="5ED366D9"/>
    <w:rsid w:val="609EAFDE"/>
    <w:rsid w:val="70F695C3"/>
    <w:rsid w:val="76295BD6"/>
    <w:rsid w:val="7BB1DB99"/>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D22171D"/>
  <w15:chartTrackingRefBased/>
  <w15:docId w15:val="{DE6EFD46-7BCB-124A-8125-08221EE17F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E511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E64C45"/>
    <w:pPr>
      <w:keepNext/>
      <w:keepLines/>
      <w:spacing w:before="40" w:after="0" w:line="256" w:lineRule="auto"/>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976B6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BF4C3F"/>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119B1"/>
    <w:pPr>
      <w:ind w:left="720"/>
      <w:contextualSpacing/>
    </w:pPr>
  </w:style>
  <w:style w:type="character" w:styleId="Hyperlink">
    <w:name w:val="Hyperlink"/>
    <w:basedOn w:val="DefaultParagraphFont"/>
    <w:uiPriority w:val="99"/>
    <w:unhideWhenUsed/>
    <w:rsid w:val="000E7BE4"/>
    <w:rPr>
      <w:color w:val="0000FF"/>
      <w:u w:val="single"/>
    </w:rPr>
  </w:style>
  <w:style w:type="paragraph" w:styleId="Header">
    <w:name w:val="header"/>
    <w:basedOn w:val="Normal"/>
    <w:link w:val="HeaderChar"/>
    <w:uiPriority w:val="99"/>
    <w:unhideWhenUsed/>
    <w:rsid w:val="00CD39FD"/>
    <w:pPr>
      <w:tabs>
        <w:tab w:val="center" w:pos="4680"/>
        <w:tab w:val="right" w:pos="9360"/>
      </w:tabs>
      <w:spacing w:after="0" w:line="240" w:lineRule="auto"/>
    </w:pPr>
  </w:style>
  <w:style w:type="character" w:customStyle="1" w:styleId="HeaderChar">
    <w:name w:val="Header Char"/>
    <w:basedOn w:val="DefaultParagraphFont"/>
    <w:link w:val="Header"/>
    <w:uiPriority w:val="99"/>
    <w:rsid w:val="00CD39FD"/>
  </w:style>
  <w:style w:type="paragraph" w:styleId="Footer">
    <w:name w:val="footer"/>
    <w:basedOn w:val="Normal"/>
    <w:link w:val="FooterChar"/>
    <w:uiPriority w:val="99"/>
    <w:unhideWhenUsed/>
    <w:rsid w:val="00CD39FD"/>
    <w:pPr>
      <w:tabs>
        <w:tab w:val="center" w:pos="4680"/>
        <w:tab w:val="right" w:pos="9360"/>
      </w:tabs>
      <w:spacing w:after="0" w:line="240" w:lineRule="auto"/>
    </w:pPr>
  </w:style>
  <w:style w:type="character" w:customStyle="1" w:styleId="FooterChar">
    <w:name w:val="Footer Char"/>
    <w:basedOn w:val="DefaultParagraphFont"/>
    <w:link w:val="Footer"/>
    <w:uiPriority w:val="99"/>
    <w:rsid w:val="00CD39FD"/>
  </w:style>
  <w:style w:type="character" w:customStyle="1" w:styleId="Heading1Char">
    <w:name w:val="Heading 1 Char"/>
    <w:basedOn w:val="DefaultParagraphFont"/>
    <w:link w:val="Heading1"/>
    <w:uiPriority w:val="9"/>
    <w:rsid w:val="00DE511E"/>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DE511E"/>
    <w:pPr>
      <w:outlineLvl w:val="9"/>
    </w:pPr>
    <w:rPr>
      <w:kern w:val="0"/>
      <w:lang w:val="en-US"/>
      <w14:ligatures w14:val="none"/>
    </w:rPr>
  </w:style>
  <w:style w:type="paragraph" w:styleId="TOC1">
    <w:name w:val="toc 1"/>
    <w:basedOn w:val="Normal"/>
    <w:next w:val="Normal"/>
    <w:autoRedefine/>
    <w:uiPriority w:val="39"/>
    <w:unhideWhenUsed/>
    <w:rsid w:val="002D0F97"/>
    <w:pPr>
      <w:spacing w:after="100"/>
    </w:pPr>
  </w:style>
  <w:style w:type="paragraph" w:customStyle="1" w:styleId="yiv2583840789msonormal">
    <w:name w:val="yiv2583840789msonormal"/>
    <w:basedOn w:val="Normal"/>
    <w:rsid w:val="00942E3B"/>
    <w:pPr>
      <w:spacing w:before="100" w:beforeAutospacing="1" w:after="100" w:afterAutospacing="1" w:line="240" w:lineRule="auto"/>
    </w:pPr>
    <w:rPr>
      <w:rFonts w:ascii="Times New Roman" w:eastAsia="Times New Roman" w:hAnsi="Times New Roman" w:cs="Times New Roman"/>
      <w:kern w:val="0"/>
      <w:sz w:val="24"/>
      <w:szCs w:val="24"/>
      <w:lang w:val="en-US"/>
      <w14:ligatures w14:val="none"/>
    </w:rPr>
  </w:style>
  <w:style w:type="paragraph" w:customStyle="1" w:styleId="yiv2583840789gmail-msolistparagraph">
    <w:name w:val="yiv2583840789gmail-msolistparagraph"/>
    <w:basedOn w:val="Normal"/>
    <w:rsid w:val="00942E3B"/>
    <w:pPr>
      <w:spacing w:before="100" w:beforeAutospacing="1" w:after="100" w:afterAutospacing="1" w:line="240" w:lineRule="auto"/>
    </w:pPr>
    <w:rPr>
      <w:rFonts w:ascii="Times New Roman" w:eastAsia="Times New Roman" w:hAnsi="Times New Roman" w:cs="Times New Roman"/>
      <w:kern w:val="0"/>
      <w:sz w:val="24"/>
      <w:szCs w:val="24"/>
      <w:lang w:val="en-US"/>
      <w14:ligatures w14:val="none"/>
    </w:rPr>
  </w:style>
  <w:style w:type="paragraph" w:styleId="TOC2">
    <w:name w:val="toc 2"/>
    <w:basedOn w:val="Normal"/>
    <w:next w:val="Normal"/>
    <w:autoRedefine/>
    <w:uiPriority w:val="39"/>
    <w:unhideWhenUsed/>
    <w:rsid w:val="00091FBB"/>
    <w:pPr>
      <w:tabs>
        <w:tab w:val="right" w:leader="dot" w:pos="9016"/>
      </w:tabs>
      <w:spacing w:after="100" w:line="360" w:lineRule="auto"/>
      <w:ind w:left="220"/>
    </w:pPr>
  </w:style>
  <w:style w:type="character" w:customStyle="1" w:styleId="Heading2Char">
    <w:name w:val="Heading 2 Char"/>
    <w:basedOn w:val="DefaultParagraphFont"/>
    <w:link w:val="Heading2"/>
    <w:uiPriority w:val="9"/>
    <w:rsid w:val="00E64C45"/>
    <w:rPr>
      <w:rFonts w:asciiTheme="majorHAnsi" w:eastAsiaTheme="majorEastAsia" w:hAnsiTheme="majorHAnsi" w:cstheme="majorBidi"/>
      <w:color w:val="2F5496" w:themeColor="accent1" w:themeShade="BF"/>
      <w:sz w:val="26"/>
      <w:szCs w:val="26"/>
    </w:rPr>
  </w:style>
  <w:style w:type="paragraph" w:styleId="NormalWeb">
    <w:name w:val="Normal (Web)"/>
    <w:basedOn w:val="Normal"/>
    <w:uiPriority w:val="99"/>
    <w:unhideWhenUsed/>
    <w:rsid w:val="00E64C45"/>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paragraph" w:styleId="CommentText">
    <w:name w:val="annotation text"/>
    <w:basedOn w:val="Normal"/>
    <w:link w:val="CommentTextChar"/>
    <w:uiPriority w:val="99"/>
    <w:unhideWhenUsed/>
    <w:rsid w:val="00E64C45"/>
    <w:pPr>
      <w:spacing w:line="240" w:lineRule="auto"/>
    </w:pPr>
    <w:rPr>
      <w:sz w:val="20"/>
      <w:szCs w:val="20"/>
    </w:rPr>
  </w:style>
  <w:style w:type="character" w:customStyle="1" w:styleId="CommentTextChar">
    <w:name w:val="Comment Text Char"/>
    <w:basedOn w:val="DefaultParagraphFont"/>
    <w:link w:val="CommentText"/>
    <w:uiPriority w:val="99"/>
    <w:rsid w:val="00E64C45"/>
    <w:rPr>
      <w:sz w:val="20"/>
      <w:szCs w:val="20"/>
    </w:rPr>
  </w:style>
  <w:style w:type="paragraph" w:styleId="Caption">
    <w:name w:val="caption"/>
    <w:basedOn w:val="Normal"/>
    <w:next w:val="Normal"/>
    <w:uiPriority w:val="35"/>
    <w:unhideWhenUsed/>
    <w:qFormat/>
    <w:rsid w:val="00E64C45"/>
    <w:pPr>
      <w:spacing w:after="200" w:line="240" w:lineRule="auto"/>
    </w:pPr>
    <w:rPr>
      <w:i/>
      <w:iCs/>
      <w:color w:val="44546A" w:themeColor="text2"/>
      <w:sz w:val="18"/>
      <w:szCs w:val="18"/>
    </w:rPr>
  </w:style>
  <w:style w:type="paragraph" w:styleId="NoSpacing">
    <w:name w:val="No Spacing"/>
    <w:uiPriority w:val="1"/>
    <w:qFormat/>
    <w:rsid w:val="00E64C45"/>
    <w:pPr>
      <w:spacing w:after="0" w:line="240" w:lineRule="auto"/>
    </w:pPr>
  </w:style>
  <w:style w:type="character" w:styleId="CommentReference">
    <w:name w:val="annotation reference"/>
    <w:basedOn w:val="DefaultParagraphFont"/>
    <w:uiPriority w:val="99"/>
    <w:semiHidden/>
    <w:unhideWhenUsed/>
    <w:rsid w:val="00E64C45"/>
    <w:rPr>
      <w:sz w:val="16"/>
      <w:szCs w:val="16"/>
    </w:rPr>
  </w:style>
  <w:style w:type="paragraph" w:styleId="CommentSubject">
    <w:name w:val="annotation subject"/>
    <w:basedOn w:val="CommentText"/>
    <w:next w:val="CommentText"/>
    <w:link w:val="CommentSubjectChar"/>
    <w:uiPriority w:val="99"/>
    <w:semiHidden/>
    <w:unhideWhenUsed/>
    <w:rsid w:val="0034783D"/>
    <w:rPr>
      <w:b/>
      <w:bCs/>
    </w:rPr>
  </w:style>
  <w:style w:type="character" w:customStyle="1" w:styleId="CommentSubjectChar">
    <w:name w:val="Comment Subject Char"/>
    <w:basedOn w:val="CommentTextChar"/>
    <w:link w:val="CommentSubject"/>
    <w:uiPriority w:val="99"/>
    <w:semiHidden/>
    <w:rsid w:val="0034783D"/>
    <w:rPr>
      <w:b/>
      <w:bCs/>
      <w:sz w:val="20"/>
      <w:szCs w:val="20"/>
    </w:rPr>
  </w:style>
  <w:style w:type="table" w:styleId="TableGrid">
    <w:name w:val="Table Grid"/>
    <w:basedOn w:val="TableNormal"/>
    <w:uiPriority w:val="39"/>
    <w:rsid w:val="0034783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yiv9813466779msonormal">
    <w:name w:val="yiv9813466779msonormal"/>
    <w:basedOn w:val="Normal"/>
    <w:rsid w:val="00976B6A"/>
    <w:pPr>
      <w:spacing w:before="100" w:beforeAutospacing="1" w:after="100" w:afterAutospacing="1" w:line="240" w:lineRule="auto"/>
    </w:pPr>
    <w:rPr>
      <w:rFonts w:ascii="Times New Roman" w:eastAsia="Times New Roman" w:hAnsi="Times New Roman" w:cs="Times New Roman"/>
      <w:kern w:val="0"/>
      <w:sz w:val="24"/>
      <w:szCs w:val="24"/>
      <w:lang w:val="en-US"/>
      <w14:ligatures w14:val="none"/>
    </w:rPr>
  </w:style>
  <w:style w:type="character" w:customStyle="1" w:styleId="Heading3Char">
    <w:name w:val="Heading 3 Char"/>
    <w:basedOn w:val="DefaultParagraphFont"/>
    <w:link w:val="Heading3"/>
    <w:uiPriority w:val="9"/>
    <w:rsid w:val="00976B6A"/>
    <w:rPr>
      <w:rFonts w:asciiTheme="majorHAnsi" w:eastAsiaTheme="majorEastAsia" w:hAnsiTheme="majorHAnsi" w:cstheme="majorBidi"/>
      <w:color w:val="1F3763" w:themeColor="accent1" w:themeShade="7F"/>
      <w:sz w:val="24"/>
      <w:szCs w:val="24"/>
    </w:rPr>
  </w:style>
  <w:style w:type="character" w:styleId="UnresolvedMention">
    <w:name w:val="Unresolved Mention"/>
    <w:basedOn w:val="DefaultParagraphFont"/>
    <w:uiPriority w:val="99"/>
    <w:semiHidden/>
    <w:unhideWhenUsed/>
    <w:rsid w:val="00F934F9"/>
    <w:rPr>
      <w:color w:val="605E5C"/>
      <w:shd w:val="clear" w:color="auto" w:fill="E1DFDD"/>
    </w:rPr>
  </w:style>
  <w:style w:type="character" w:styleId="FollowedHyperlink">
    <w:name w:val="FollowedHyperlink"/>
    <w:basedOn w:val="DefaultParagraphFont"/>
    <w:uiPriority w:val="99"/>
    <w:semiHidden/>
    <w:unhideWhenUsed/>
    <w:rsid w:val="00F934F9"/>
    <w:rPr>
      <w:color w:val="954F72" w:themeColor="followedHyperlink"/>
      <w:u w:val="single"/>
    </w:rPr>
  </w:style>
  <w:style w:type="character" w:customStyle="1" w:styleId="Heading4Char">
    <w:name w:val="Heading 4 Char"/>
    <w:basedOn w:val="DefaultParagraphFont"/>
    <w:link w:val="Heading4"/>
    <w:uiPriority w:val="9"/>
    <w:rsid w:val="00BF4C3F"/>
    <w:rPr>
      <w:rFonts w:asciiTheme="majorHAnsi" w:eastAsiaTheme="majorEastAsia" w:hAnsiTheme="majorHAnsi" w:cstheme="majorBidi"/>
      <w:i/>
      <w:iCs/>
      <w:color w:val="2F5496" w:themeColor="accent1" w:themeShade="BF"/>
    </w:rPr>
  </w:style>
  <w:style w:type="paragraph" w:styleId="TOC3">
    <w:name w:val="toc 3"/>
    <w:basedOn w:val="Normal"/>
    <w:next w:val="Normal"/>
    <w:autoRedefine/>
    <w:uiPriority w:val="39"/>
    <w:unhideWhenUsed/>
    <w:rsid w:val="00FC21FE"/>
    <w:pPr>
      <w:spacing w:after="100"/>
      <w:ind w:left="440"/>
    </w:pPr>
  </w:style>
  <w:style w:type="paragraph" w:styleId="TableofFigures">
    <w:name w:val="table of figures"/>
    <w:basedOn w:val="Normal"/>
    <w:next w:val="Normal"/>
    <w:uiPriority w:val="99"/>
    <w:unhideWhenUsed/>
    <w:rsid w:val="00E61B2A"/>
    <w:pPr>
      <w:spacing w:after="0"/>
    </w:pPr>
  </w:style>
  <w:style w:type="character" w:styleId="Emphasis">
    <w:name w:val="Emphasis"/>
    <w:basedOn w:val="DefaultParagraphFont"/>
    <w:uiPriority w:val="20"/>
    <w:qFormat/>
    <w:rsid w:val="00AE4790"/>
    <w:rPr>
      <w:i/>
      <w:iCs/>
    </w:rPr>
  </w:style>
  <w:style w:type="paragraph" w:styleId="Revision">
    <w:name w:val="Revision"/>
    <w:hidden/>
    <w:uiPriority w:val="99"/>
    <w:semiHidden/>
    <w:rsid w:val="00767B33"/>
    <w:pPr>
      <w:spacing w:after="0" w:line="240" w:lineRule="auto"/>
    </w:pPr>
  </w:style>
  <w:style w:type="paragraph" w:customStyle="1" w:styleId="pf0">
    <w:name w:val="pf0"/>
    <w:basedOn w:val="Normal"/>
    <w:rsid w:val="002D0F97"/>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customStyle="1" w:styleId="cf01">
    <w:name w:val="cf01"/>
    <w:basedOn w:val="DefaultParagraphFont"/>
    <w:rsid w:val="002D0F97"/>
    <w:rPr>
      <w:rFonts w:ascii="Segoe UI" w:hAnsi="Segoe UI" w:cs="Segoe UI" w:hint="default"/>
      <w:sz w:val="18"/>
      <w:szCs w:val="18"/>
    </w:rPr>
  </w:style>
  <w:style w:type="paragraph" w:styleId="FootnoteText">
    <w:name w:val="footnote text"/>
    <w:basedOn w:val="Normal"/>
    <w:link w:val="FootnoteTextChar"/>
    <w:uiPriority w:val="99"/>
    <w:semiHidden/>
    <w:unhideWhenUsed/>
    <w:rsid w:val="00AF3BC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F3BC7"/>
    <w:rPr>
      <w:sz w:val="20"/>
      <w:szCs w:val="20"/>
    </w:rPr>
  </w:style>
  <w:style w:type="character" w:styleId="FootnoteReference">
    <w:name w:val="footnote reference"/>
    <w:basedOn w:val="DefaultParagraphFont"/>
    <w:uiPriority w:val="99"/>
    <w:semiHidden/>
    <w:unhideWhenUsed/>
    <w:rsid w:val="00AF3BC7"/>
    <w:rPr>
      <w:vertAlign w:val="superscript"/>
    </w:rPr>
  </w:style>
  <w:style w:type="character" w:customStyle="1" w:styleId="outlook-search-highlight">
    <w:name w:val="outlook-search-highlight"/>
    <w:basedOn w:val="DefaultParagraphFont"/>
    <w:rsid w:val="001A1BE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1827823">
      <w:bodyDiv w:val="1"/>
      <w:marLeft w:val="0"/>
      <w:marRight w:val="0"/>
      <w:marTop w:val="0"/>
      <w:marBottom w:val="0"/>
      <w:divBdr>
        <w:top w:val="none" w:sz="0" w:space="0" w:color="auto"/>
        <w:left w:val="none" w:sz="0" w:space="0" w:color="auto"/>
        <w:bottom w:val="none" w:sz="0" w:space="0" w:color="auto"/>
        <w:right w:val="none" w:sz="0" w:space="0" w:color="auto"/>
      </w:divBdr>
    </w:div>
    <w:div w:id="347367379">
      <w:bodyDiv w:val="1"/>
      <w:marLeft w:val="0"/>
      <w:marRight w:val="0"/>
      <w:marTop w:val="0"/>
      <w:marBottom w:val="0"/>
      <w:divBdr>
        <w:top w:val="none" w:sz="0" w:space="0" w:color="auto"/>
        <w:left w:val="none" w:sz="0" w:space="0" w:color="auto"/>
        <w:bottom w:val="none" w:sz="0" w:space="0" w:color="auto"/>
        <w:right w:val="none" w:sz="0" w:space="0" w:color="auto"/>
      </w:divBdr>
      <w:divsChild>
        <w:div w:id="1774011524">
          <w:marLeft w:val="0"/>
          <w:marRight w:val="0"/>
          <w:marTop w:val="0"/>
          <w:marBottom w:val="0"/>
          <w:divBdr>
            <w:top w:val="none" w:sz="0" w:space="0" w:color="auto"/>
            <w:left w:val="none" w:sz="0" w:space="0" w:color="auto"/>
            <w:bottom w:val="none" w:sz="0" w:space="0" w:color="auto"/>
            <w:right w:val="none" w:sz="0" w:space="0" w:color="auto"/>
          </w:divBdr>
        </w:div>
      </w:divsChild>
    </w:div>
    <w:div w:id="471098358">
      <w:bodyDiv w:val="1"/>
      <w:marLeft w:val="0"/>
      <w:marRight w:val="0"/>
      <w:marTop w:val="0"/>
      <w:marBottom w:val="0"/>
      <w:divBdr>
        <w:top w:val="none" w:sz="0" w:space="0" w:color="auto"/>
        <w:left w:val="none" w:sz="0" w:space="0" w:color="auto"/>
        <w:bottom w:val="none" w:sz="0" w:space="0" w:color="auto"/>
        <w:right w:val="none" w:sz="0" w:space="0" w:color="auto"/>
      </w:divBdr>
    </w:div>
    <w:div w:id="491876398">
      <w:bodyDiv w:val="1"/>
      <w:marLeft w:val="0"/>
      <w:marRight w:val="0"/>
      <w:marTop w:val="0"/>
      <w:marBottom w:val="0"/>
      <w:divBdr>
        <w:top w:val="none" w:sz="0" w:space="0" w:color="auto"/>
        <w:left w:val="none" w:sz="0" w:space="0" w:color="auto"/>
        <w:bottom w:val="none" w:sz="0" w:space="0" w:color="auto"/>
        <w:right w:val="none" w:sz="0" w:space="0" w:color="auto"/>
      </w:divBdr>
      <w:divsChild>
        <w:div w:id="1932812631">
          <w:marLeft w:val="0"/>
          <w:marRight w:val="0"/>
          <w:marTop w:val="0"/>
          <w:marBottom w:val="0"/>
          <w:divBdr>
            <w:top w:val="none" w:sz="0" w:space="0" w:color="auto"/>
            <w:left w:val="none" w:sz="0" w:space="0" w:color="auto"/>
            <w:bottom w:val="none" w:sz="0" w:space="0" w:color="auto"/>
            <w:right w:val="none" w:sz="0" w:space="0" w:color="auto"/>
          </w:divBdr>
        </w:div>
        <w:div w:id="2114474180">
          <w:marLeft w:val="0"/>
          <w:marRight w:val="0"/>
          <w:marTop w:val="0"/>
          <w:marBottom w:val="0"/>
          <w:divBdr>
            <w:top w:val="none" w:sz="0" w:space="0" w:color="auto"/>
            <w:left w:val="none" w:sz="0" w:space="0" w:color="auto"/>
            <w:bottom w:val="none" w:sz="0" w:space="0" w:color="auto"/>
            <w:right w:val="none" w:sz="0" w:space="0" w:color="auto"/>
          </w:divBdr>
        </w:div>
      </w:divsChild>
    </w:div>
    <w:div w:id="542601644">
      <w:bodyDiv w:val="1"/>
      <w:marLeft w:val="0"/>
      <w:marRight w:val="0"/>
      <w:marTop w:val="0"/>
      <w:marBottom w:val="0"/>
      <w:divBdr>
        <w:top w:val="none" w:sz="0" w:space="0" w:color="auto"/>
        <w:left w:val="none" w:sz="0" w:space="0" w:color="auto"/>
        <w:bottom w:val="none" w:sz="0" w:space="0" w:color="auto"/>
        <w:right w:val="none" w:sz="0" w:space="0" w:color="auto"/>
      </w:divBdr>
      <w:divsChild>
        <w:div w:id="119734863">
          <w:marLeft w:val="0"/>
          <w:marRight w:val="0"/>
          <w:marTop w:val="0"/>
          <w:marBottom w:val="0"/>
          <w:divBdr>
            <w:top w:val="none" w:sz="0" w:space="0" w:color="auto"/>
            <w:left w:val="none" w:sz="0" w:space="0" w:color="auto"/>
            <w:bottom w:val="none" w:sz="0" w:space="0" w:color="auto"/>
            <w:right w:val="none" w:sz="0" w:space="0" w:color="auto"/>
          </w:divBdr>
        </w:div>
      </w:divsChild>
    </w:div>
    <w:div w:id="871650685">
      <w:bodyDiv w:val="1"/>
      <w:marLeft w:val="0"/>
      <w:marRight w:val="0"/>
      <w:marTop w:val="0"/>
      <w:marBottom w:val="0"/>
      <w:divBdr>
        <w:top w:val="none" w:sz="0" w:space="0" w:color="auto"/>
        <w:left w:val="none" w:sz="0" w:space="0" w:color="auto"/>
        <w:bottom w:val="none" w:sz="0" w:space="0" w:color="auto"/>
        <w:right w:val="none" w:sz="0" w:space="0" w:color="auto"/>
      </w:divBdr>
      <w:divsChild>
        <w:div w:id="28264377">
          <w:marLeft w:val="0"/>
          <w:marRight w:val="0"/>
          <w:marTop w:val="0"/>
          <w:marBottom w:val="0"/>
          <w:divBdr>
            <w:top w:val="none" w:sz="0" w:space="0" w:color="auto"/>
            <w:left w:val="none" w:sz="0" w:space="0" w:color="auto"/>
            <w:bottom w:val="none" w:sz="0" w:space="0" w:color="auto"/>
            <w:right w:val="none" w:sz="0" w:space="0" w:color="auto"/>
          </w:divBdr>
        </w:div>
        <w:div w:id="157499701">
          <w:marLeft w:val="0"/>
          <w:marRight w:val="0"/>
          <w:marTop w:val="0"/>
          <w:marBottom w:val="0"/>
          <w:divBdr>
            <w:top w:val="none" w:sz="0" w:space="0" w:color="auto"/>
            <w:left w:val="none" w:sz="0" w:space="0" w:color="auto"/>
            <w:bottom w:val="none" w:sz="0" w:space="0" w:color="auto"/>
            <w:right w:val="none" w:sz="0" w:space="0" w:color="auto"/>
          </w:divBdr>
        </w:div>
        <w:div w:id="204753351">
          <w:marLeft w:val="0"/>
          <w:marRight w:val="0"/>
          <w:marTop w:val="0"/>
          <w:marBottom w:val="0"/>
          <w:divBdr>
            <w:top w:val="none" w:sz="0" w:space="0" w:color="auto"/>
            <w:left w:val="none" w:sz="0" w:space="0" w:color="auto"/>
            <w:bottom w:val="none" w:sz="0" w:space="0" w:color="auto"/>
            <w:right w:val="none" w:sz="0" w:space="0" w:color="auto"/>
          </w:divBdr>
        </w:div>
        <w:div w:id="356780843">
          <w:marLeft w:val="0"/>
          <w:marRight w:val="0"/>
          <w:marTop w:val="0"/>
          <w:marBottom w:val="0"/>
          <w:divBdr>
            <w:top w:val="none" w:sz="0" w:space="0" w:color="auto"/>
            <w:left w:val="none" w:sz="0" w:space="0" w:color="auto"/>
            <w:bottom w:val="none" w:sz="0" w:space="0" w:color="auto"/>
            <w:right w:val="none" w:sz="0" w:space="0" w:color="auto"/>
          </w:divBdr>
        </w:div>
        <w:div w:id="691764289">
          <w:marLeft w:val="0"/>
          <w:marRight w:val="0"/>
          <w:marTop w:val="0"/>
          <w:marBottom w:val="0"/>
          <w:divBdr>
            <w:top w:val="none" w:sz="0" w:space="0" w:color="auto"/>
            <w:left w:val="none" w:sz="0" w:space="0" w:color="auto"/>
            <w:bottom w:val="none" w:sz="0" w:space="0" w:color="auto"/>
            <w:right w:val="none" w:sz="0" w:space="0" w:color="auto"/>
          </w:divBdr>
        </w:div>
      </w:divsChild>
    </w:div>
    <w:div w:id="957682584">
      <w:bodyDiv w:val="1"/>
      <w:marLeft w:val="0"/>
      <w:marRight w:val="0"/>
      <w:marTop w:val="0"/>
      <w:marBottom w:val="0"/>
      <w:divBdr>
        <w:top w:val="none" w:sz="0" w:space="0" w:color="auto"/>
        <w:left w:val="none" w:sz="0" w:space="0" w:color="auto"/>
        <w:bottom w:val="none" w:sz="0" w:space="0" w:color="auto"/>
        <w:right w:val="none" w:sz="0" w:space="0" w:color="auto"/>
      </w:divBdr>
    </w:div>
    <w:div w:id="1184825586">
      <w:bodyDiv w:val="1"/>
      <w:marLeft w:val="0"/>
      <w:marRight w:val="0"/>
      <w:marTop w:val="0"/>
      <w:marBottom w:val="0"/>
      <w:divBdr>
        <w:top w:val="none" w:sz="0" w:space="0" w:color="auto"/>
        <w:left w:val="none" w:sz="0" w:space="0" w:color="auto"/>
        <w:bottom w:val="none" w:sz="0" w:space="0" w:color="auto"/>
        <w:right w:val="none" w:sz="0" w:space="0" w:color="auto"/>
      </w:divBdr>
    </w:div>
    <w:div w:id="1461531897">
      <w:bodyDiv w:val="1"/>
      <w:marLeft w:val="0"/>
      <w:marRight w:val="0"/>
      <w:marTop w:val="0"/>
      <w:marBottom w:val="0"/>
      <w:divBdr>
        <w:top w:val="none" w:sz="0" w:space="0" w:color="auto"/>
        <w:left w:val="none" w:sz="0" w:space="0" w:color="auto"/>
        <w:bottom w:val="none" w:sz="0" w:space="0" w:color="auto"/>
        <w:right w:val="none" w:sz="0" w:space="0" w:color="auto"/>
      </w:divBdr>
      <w:divsChild>
        <w:div w:id="768430194">
          <w:marLeft w:val="0"/>
          <w:marRight w:val="0"/>
          <w:marTop w:val="0"/>
          <w:marBottom w:val="0"/>
          <w:divBdr>
            <w:top w:val="none" w:sz="0" w:space="0" w:color="auto"/>
            <w:left w:val="none" w:sz="0" w:space="0" w:color="auto"/>
            <w:bottom w:val="none" w:sz="0" w:space="0" w:color="auto"/>
            <w:right w:val="none" w:sz="0" w:space="0" w:color="auto"/>
          </w:divBdr>
        </w:div>
        <w:div w:id="883100081">
          <w:marLeft w:val="0"/>
          <w:marRight w:val="0"/>
          <w:marTop w:val="0"/>
          <w:marBottom w:val="0"/>
          <w:divBdr>
            <w:top w:val="none" w:sz="0" w:space="0" w:color="auto"/>
            <w:left w:val="none" w:sz="0" w:space="0" w:color="auto"/>
            <w:bottom w:val="none" w:sz="0" w:space="0" w:color="auto"/>
            <w:right w:val="none" w:sz="0" w:space="0" w:color="auto"/>
          </w:divBdr>
        </w:div>
      </w:divsChild>
    </w:div>
    <w:div w:id="1520776154">
      <w:bodyDiv w:val="1"/>
      <w:marLeft w:val="0"/>
      <w:marRight w:val="0"/>
      <w:marTop w:val="0"/>
      <w:marBottom w:val="0"/>
      <w:divBdr>
        <w:top w:val="none" w:sz="0" w:space="0" w:color="auto"/>
        <w:left w:val="none" w:sz="0" w:space="0" w:color="auto"/>
        <w:bottom w:val="none" w:sz="0" w:space="0" w:color="auto"/>
        <w:right w:val="none" w:sz="0" w:space="0" w:color="auto"/>
      </w:divBdr>
    </w:div>
    <w:div w:id="1564413265">
      <w:bodyDiv w:val="1"/>
      <w:marLeft w:val="0"/>
      <w:marRight w:val="0"/>
      <w:marTop w:val="0"/>
      <w:marBottom w:val="0"/>
      <w:divBdr>
        <w:top w:val="none" w:sz="0" w:space="0" w:color="auto"/>
        <w:left w:val="none" w:sz="0" w:space="0" w:color="auto"/>
        <w:bottom w:val="none" w:sz="0" w:space="0" w:color="auto"/>
        <w:right w:val="none" w:sz="0" w:space="0" w:color="auto"/>
      </w:divBdr>
      <w:divsChild>
        <w:div w:id="396248018">
          <w:marLeft w:val="0"/>
          <w:marRight w:val="0"/>
          <w:marTop w:val="0"/>
          <w:marBottom w:val="0"/>
          <w:divBdr>
            <w:top w:val="none" w:sz="0" w:space="0" w:color="auto"/>
            <w:left w:val="none" w:sz="0" w:space="0" w:color="auto"/>
            <w:bottom w:val="none" w:sz="0" w:space="0" w:color="auto"/>
            <w:right w:val="none" w:sz="0" w:space="0" w:color="auto"/>
          </w:divBdr>
        </w:div>
        <w:div w:id="678238577">
          <w:marLeft w:val="0"/>
          <w:marRight w:val="0"/>
          <w:marTop w:val="0"/>
          <w:marBottom w:val="0"/>
          <w:divBdr>
            <w:top w:val="none" w:sz="0" w:space="0" w:color="auto"/>
            <w:left w:val="none" w:sz="0" w:space="0" w:color="auto"/>
            <w:bottom w:val="none" w:sz="0" w:space="0" w:color="auto"/>
            <w:right w:val="none" w:sz="0" w:space="0" w:color="auto"/>
          </w:divBdr>
        </w:div>
        <w:div w:id="855463129">
          <w:marLeft w:val="0"/>
          <w:marRight w:val="0"/>
          <w:marTop w:val="0"/>
          <w:marBottom w:val="0"/>
          <w:divBdr>
            <w:top w:val="none" w:sz="0" w:space="0" w:color="auto"/>
            <w:left w:val="none" w:sz="0" w:space="0" w:color="auto"/>
            <w:bottom w:val="none" w:sz="0" w:space="0" w:color="auto"/>
            <w:right w:val="none" w:sz="0" w:space="0" w:color="auto"/>
          </w:divBdr>
        </w:div>
        <w:div w:id="1728406808">
          <w:marLeft w:val="0"/>
          <w:marRight w:val="0"/>
          <w:marTop w:val="0"/>
          <w:marBottom w:val="0"/>
          <w:divBdr>
            <w:top w:val="none" w:sz="0" w:space="0" w:color="auto"/>
            <w:left w:val="none" w:sz="0" w:space="0" w:color="auto"/>
            <w:bottom w:val="none" w:sz="0" w:space="0" w:color="auto"/>
            <w:right w:val="none" w:sz="0" w:space="0" w:color="auto"/>
          </w:divBdr>
        </w:div>
      </w:divsChild>
    </w:div>
    <w:div w:id="1600914600">
      <w:bodyDiv w:val="1"/>
      <w:marLeft w:val="0"/>
      <w:marRight w:val="0"/>
      <w:marTop w:val="0"/>
      <w:marBottom w:val="0"/>
      <w:divBdr>
        <w:top w:val="none" w:sz="0" w:space="0" w:color="auto"/>
        <w:left w:val="none" w:sz="0" w:space="0" w:color="auto"/>
        <w:bottom w:val="none" w:sz="0" w:space="0" w:color="auto"/>
        <w:right w:val="none" w:sz="0" w:space="0" w:color="auto"/>
      </w:divBdr>
    </w:div>
    <w:div w:id="1633247792">
      <w:bodyDiv w:val="1"/>
      <w:marLeft w:val="0"/>
      <w:marRight w:val="0"/>
      <w:marTop w:val="0"/>
      <w:marBottom w:val="0"/>
      <w:divBdr>
        <w:top w:val="none" w:sz="0" w:space="0" w:color="auto"/>
        <w:left w:val="none" w:sz="0" w:space="0" w:color="auto"/>
        <w:bottom w:val="none" w:sz="0" w:space="0" w:color="auto"/>
        <w:right w:val="none" w:sz="0" w:space="0" w:color="auto"/>
      </w:divBdr>
      <w:divsChild>
        <w:div w:id="357512258">
          <w:marLeft w:val="0"/>
          <w:marRight w:val="0"/>
          <w:marTop w:val="0"/>
          <w:marBottom w:val="0"/>
          <w:divBdr>
            <w:top w:val="none" w:sz="0" w:space="0" w:color="auto"/>
            <w:left w:val="none" w:sz="0" w:space="0" w:color="auto"/>
            <w:bottom w:val="none" w:sz="0" w:space="0" w:color="auto"/>
            <w:right w:val="none" w:sz="0" w:space="0" w:color="auto"/>
          </w:divBdr>
        </w:div>
        <w:div w:id="397871926">
          <w:marLeft w:val="0"/>
          <w:marRight w:val="0"/>
          <w:marTop w:val="0"/>
          <w:marBottom w:val="0"/>
          <w:divBdr>
            <w:top w:val="none" w:sz="0" w:space="0" w:color="auto"/>
            <w:left w:val="none" w:sz="0" w:space="0" w:color="auto"/>
            <w:bottom w:val="none" w:sz="0" w:space="0" w:color="auto"/>
            <w:right w:val="none" w:sz="0" w:space="0" w:color="auto"/>
          </w:divBdr>
        </w:div>
      </w:divsChild>
    </w:div>
    <w:div w:id="1634483064">
      <w:bodyDiv w:val="1"/>
      <w:marLeft w:val="0"/>
      <w:marRight w:val="0"/>
      <w:marTop w:val="0"/>
      <w:marBottom w:val="0"/>
      <w:divBdr>
        <w:top w:val="none" w:sz="0" w:space="0" w:color="auto"/>
        <w:left w:val="none" w:sz="0" w:space="0" w:color="auto"/>
        <w:bottom w:val="none" w:sz="0" w:space="0" w:color="auto"/>
        <w:right w:val="none" w:sz="0" w:space="0" w:color="auto"/>
      </w:divBdr>
      <w:divsChild>
        <w:div w:id="279578727">
          <w:marLeft w:val="0"/>
          <w:marRight w:val="0"/>
          <w:marTop w:val="0"/>
          <w:marBottom w:val="0"/>
          <w:divBdr>
            <w:top w:val="none" w:sz="0" w:space="0" w:color="auto"/>
            <w:left w:val="none" w:sz="0" w:space="0" w:color="auto"/>
            <w:bottom w:val="none" w:sz="0" w:space="0" w:color="auto"/>
            <w:right w:val="none" w:sz="0" w:space="0" w:color="auto"/>
          </w:divBdr>
        </w:div>
      </w:divsChild>
    </w:div>
    <w:div w:id="1657763134">
      <w:bodyDiv w:val="1"/>
      <w:marLeft w:val="0"/>
      <w:marRight w:val="0"/>
      <w:marTop w:val="0"/>
      <w:marBottom w:val="0"/>
      <w:divBdr>
        <w:top w:val="none" w:sz="0" w:space="0" w:color="auto"/>
        <w:left w:val="none" w:sz="0" w:space="0" w:color="auto"/>
        <w:bottom w:val="none" w:sz="0" w:space="0" w:color="auto"/>
        <w:right w:val="none" w:sz="0" w:space="0" w:color="auto"/>
      </w:divBdr>
      <w:divsChild>
        <w:div w:id="1020207786">
          <w:marLeft w:val="0"/>
          <w:marRight w:val="0"/>
          <w:marTop w:val="0"/>
          <w:marBottom w:val="0"/>
          <w:divBdr>
            <w:top w:val="single" w:sz="2" w:space="0" w:color="D9D9E3"/>
            <w:left w:val="single" w:sz="2" w:space="0" w:color="D9D9E3"/>
            <w:bottom w:val="single" w:sz="2" w:space="0" w:color="D9D9E3"/>
            <w:right w:val="single" w:sz="2" w:space="0" w:color="D9D9E3"/>
          </w:divBdr>
          <w:divsChild>
            <w:div w:id="1171942649">
              <w:marLeft w:val="0"/>
              <w:marRight w:val="0"/>
              <w:marTop w:val="100"/>
              <w:marBottom w:val="100"/>
              <w:divBdr>
                <w:top w:val="single" w:sz="2" w:space="0" w:color="D9D9E3"/>
                <w:left w:val="single" w:sz="2" w:space="0" w:color="D9D9E3"/>
                <w:bottom w:val="single" w:sz="2" w:space="0" w:color="D9D9E3"/>
                <w:right w:val="single" w:sz="2" w:space="0" w:color="D9D9E3"/>
              </w:divBdr>
              <w:divsChild>
                <w:div w:id="1682391793">
                  <w:marLeft w:val="0"/>
                  <w:marRight w:val="0"/>
                  <w:marTop w:val="0"/>
                  <w:marBottom w:val="0"/>
                  <w:divBdr>
                    <w:top w:val="single" w:sz="2" w:space="0" w:color="D9D9E3"/>
                    <w:left w:val="single" w:sz="2" w:space="0" w:color="D9D9E3"/>
                    <w:bottom w:val="single" w:sz="2" w:space="0" w:color="D9D9E3"/>
                    <w:right w:val="single" w:sz="2" w:space="0" w:color="D9D9E3"/>
                  </w:divBdr>
                  <w:divsChild>
                    <w:div w:id="799222302">
                      <w:marLeft w:val="0"/>
                      <w:marRight w:val="0"/>
                      <w:marTop w:val="0"/>
                      <w:marBottom w:val="0"/>
                      <w:divBdr>
                        <w:top w:val="single" w:sz="2" w:space="0" w:color="D9D9E3"/>
                        <w:left w:val="single" w:sz="2" w:space="0" w:color="D9D9E3"/>
                        <w:bottom w:val="single" w:sz="2" w:space="0" w:color="D9D9E3"/>
                        <w:right w:val="single" w:sz="2" w:space="0" w:color="D9D9E3"/>
                      </w:divBdr>
                      <w:divsChild>
                        <w:div w:id="586500473">
                          <w:marLeft w:val="0"/>
                          <w:marRight w:val="0"/>
                          <w:marTop w:val="0"/>
                          <w:marBottom w:val="0"/>
                          <w:divBdr>
                            <w:top w:val="single" w:sz="2" w:space="0" w:color="D9D9E3"/>
                            <w:left w:val="single" w:sz="2" w:space="0" w:color="D9D9E3"/>
                            <w:bottom w:val="single" w:sz="2" w:space="0" w:color="D9D9E3"/>
                            <w:right w:val="single" w:sz="2" w:space="0" w:color="D9D9E3"/>
                          </w:divBdr>
                        </w:div>
                        <w:div w:id="731779862">
                          <w:marLeft w:val="0"/>
                          <w:marRight w:val="0"/>
                          <w:marTop w:val="0"/>
                          <w:marBottom w:val="0"/>
                          <w:divBdr>
                            <w:top w:val="single" w:sz="2" w:space="0" w:color="D9D9E3"/>
                            <w:left w:val="single" w:sz="2" w:space="0" w:color="D9D9E3"/>
                            <w:bottom w:val="single" w:sz="2" w:space="0" w:color="D9D9E3"/>
                            <w:right w:val="single" w:sz="2" w:space="0" w:color="D9D9E3"/>
                          </w:divBdr>
                          <w:divsChild>
                            <w:div w:id="185870270">
                              <w:marLeft w:val="0"/>
                              <w:marRight w:val="0"/>
                              <w:marTop w:val="0"/>
                              <w:marBottom w:val="0"/>
                              <w:divBdr>
                                <w:top w:val="single" w:sz="2" w:space="0" w:color="D9D9E3"/>
                                <w:left w:val="single" w:sz="2" w:space="0" w:color="D9D9E3"/>
                                <w:bottom w:val="single" w:sz="2" w:space="0" w:color="D9D9E3"/>
                                <w:right w:val="single" w:sz="2" w:space="0" w:color="D9D9E3"/>
                              </w:divBdr>
                              <w:divsChild>
                                <w:div w:id="942148866">
                                  <w:marLeft w:val="0"/>
                                  <w:marRight w:val="0"/>
                                  <w:marTop w:val="0"/>
                                  <w:marBottom w:val="0"/>
                                  <w:divBdr>
                                    <w:top w:val="single" w:sz="2" w:space="0" w:color="D9D9E3"/>
                                    <w:left w:val="single" w:sz="2" w:space="0" w:color="D9D9E3"/>
                                    <w:bottom w:val="single" w:sz="2" w:space="0" w:color="D9D9E3"/>
                                    <w:right w:val="single" w:sz="2" w:space="0" w:color="D9D9E3"/>
                                  </w:divBdr>
                                  <w:divsChild>
                                    <w:div w:id="8430595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2102950955">
                      <w:marLeft w:val="0"/>
                      <w:marRight w:val="0"/>
                      <w:marTop w:val="0"/>
                      <w:marBottom w:val="0"/>
                      <w:divBdr>
                        <w:top w:val="single" w:sz="2" w:space="0" w:color="D9D9E3"/>
                        <w:left w:val="single" w:sz="2" w:space="0" w:color="D9D9E3"/>
                        <w:bottom w:val="single" w:sz="2" w:space="0" w:color="D9D9E3"/>
                        <w:right w:val="single" w:sz="2" w:space="0" w:color="D9D9E3"/>
                      </w:divBdr>
                      <w:divsChild>
                        <w:div w:id="940531612">
                          <w:marLeft w:val="0"/>
                          <w:marRight w:val="0"/>
                          <w:marTop w:val="0"/>
                          <w:marBottom w:val="0"/>
                          <w:divBdr>
                            <w:top w:val="single" w:sz="2" w:space="0" w:color="D9D9E3"/>
                            <w:left w:val="single" w:sz="2" w:space="0" w:color="D9D9E3"/>
                            <w:bottom w:val="single" w:sz="2" w:space="0" w:color="D9D9E3"/>
                            <w:right w:val="single" w:sz="2" w:space="0" w:color="D9D9E3"/>
                          </w:divBdr>
                          <w:divsChild>
                            <w:div w:id="111170163">
                              <w:marLeft w:val="0"/>
                              <w:marRight w:val="0"/>
                              <w:marTop w:val="0"/>
                              <w:marBottom w:val="0"/>
                              <w:divBdr>
                                <w:top w:val="single" w:sz="2" w:space="0" w:color="D9D9E3"/>
                                <w:left w:val="single" w:sz="2" w:space="0" w:color="D9D9E3"/>
                                <w:bottom w:val="single" w:sz="2" w:space="0" w:color="D9D9E3"/>
                                <w:right w:val="single" w:sz="2" w:space="0" w:color="D9D9E3"/>
                              </w:divBdr>
                              <w:divsChild>
                                <w:div w:id="238906035">
                                  <w:marLeft w:val="0"/>
                                  <w:marRight w:val="0"/>
                                  <w:marTop w:val="0"/>
                                  <w:marBottom w:val="0"/>
                                  <w:divBdr>
                                    <w:top w:val="single" w:sz="2" w:space="0" w:color="D9D9E3"/>
                                    <w:left w:val="single" w:sz="2" w:space="0" w:color="D9D9E3"/>
                                    <w:bottom w:val="single" w:sz="2" w:space="0" w:color="D9D9E3"/>
                                    <w:right w:val="single" w:sz="2" w:space="0" w:color="D9D9E3"/>
                                  </w:divBdr>
                                  <w:divsChild>
                                    <w:div w:id="58985063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1779790834">
          <w:marLeft w:val="0"/>
          <w:marRight w:val="0"/>
          <w:marTop w:val="0"/>
          <w:marBottom w:val="0"/>
          <w:divBdr>
            <w:top w:val="single" w:sz="2" w:space="0" w:color="D9D9E3"/>
            <w:left w:val="single" w:sz="2" w:space="0" w:color="D9D9E3"/>
            <w:bottom w:val="single" w:sz="2" w:space="0" w:color="D9D9E3"/>
            <w:right w:val="single" w:sz="2" w:space="0" w:color="D9D9E3"/>
          </w:divBdr>
          <w:divsChild>
            <w:div w:id="283467475">
              <w:marLeft w:val="0"/>
              <w:marRight w:val="0"/>
              <w:marTop w:val="100"/>
              <w:marBottom w:val="100"/>
              <w:divBdr>
                <w:top w:val="single" w:sz="2" w:space="0" w:color="D9D9E3"/>
                <w:left w:val="single" w:sz="2" w:space="0" w:color="D9D9E3"/>
                <w:bottom w:val="single" w:sz="2" w:space="0" w:color="D9D9E3"/>
                <w:right w:val="single" w:sz="2" w:space="0" w:color="D9D9E3"/>
              </w:divBdr>
              <w:divsChild>
                <w:div w:id="314722329">
                  <w:marLeft w:val="0"/>
                  <w:marRight w:val="0"/>
                  <w:marTop w:val="0"/>
                  <w:marBottom w:val="0"/>
                  <w:divBdr>
                    <w:top w:val="single" w:sz="2" w:space="0" w:color="D9D9E3"/>
                    <w:left w:val="single" w:sz="2" w:space="0" w:color="D9D9E3"/>
                    <w:bottom w:val="single" w:sz="2" w:space="0" w:color="D9D9E3"/>
                    <w:right w:val="single" w:sz="2" w:space="0" w:color="D9D9E3"/>
                  </w:divBdr>
                  <w:divsChild>
                    <w:div w:id="148984278">
                      <w:marLeft w:val="0"/>
                      <w:marRight w:val="0"/>
                      <w:marTop w:val="0"/>
                      <w:marBottom w:val="0"/>
                      <w:divBdr>
                        <w:top w:val="single" w:sz="2" w:space="0" w:color="D9D9E3"/>
                        <w:left w:val="single" w:sz="2" w:space="0" w:color="D9D9E3"/>
                        <w:bottom w:val="single" w:sz="2" w:space="0" w:color="D9D9E3"/>
                        <w:right w:val="single" w:sz="2" w:space="0" w:color="D9D9E3"/>
                      </w:divBdr>
                      <w:divsChild>
                        <w:div w:id="1356078803">
                          <w:marLeft w:val="0"/>
                          <w:marRight w:val="0"/>
                          <w:marTop w:val="0"/>
                          <w:marBottom w:val="0"/>
                          <w:divBdr>
                            <w:top w:val="single" w:sz="2" w:space="0" w:color="D9D9E3"/>
                            <w:left w:val="single" w:sz="2" w:space="0" w:color="D9D9E3"/>
                            <w:bottom w:val="single" w:sz="2" w:space="0" w:color="D9D9E3"/>
                            <w:right w:val="single" w:sz="2" w:space="0" w:color="D9D9E3"/>
                          </w:divBdr>
                          <w:divsChild>
                            <w:div w:id="2145270460">
                              <w:marLeft w:val="0"/>
                              <w:marRight w:val="0"/>
                              <w:marTop w:val="0"/>
                              <w:marBottom w:val="0"/>
                              <w:divBdr>
                                <w:top w:val="single" w:sz="2" w:space="0" w:color="D9D9E3"/>
                                <w:left w:val="single" w:sz="2" w:space="0" w:color="D9D9E3"/>
                                <w:bottom w:val="single" w:sz="2" w:space="0" w:color="D9D9E3"/>
                                <w:right w:val="single" w:sz="2" w:space="0" w:color="D9D9E3"/>
                              </w:divBdr>
                              <w:divsChild>
                                <w:div w:id="1163005329">
                                  <w:marLeft w:val="0"/>
                                  <w:marRight w:val="0"/>
                                  <w:marTop w:val="0"/>
                                  <w:marBottom w:val="0"/>
                                  <w:divBdr>
                                    <w:top w:val="single" w:sz="2" w:space="0" w:color="D9D9E3"/>
                                    <w:left w:val="single" w:sz="2" w:space="0" w:color="D9D9E3"/>
                                    <w:bottom w:val="single" w:sz="2" w:space="0" w:color="D9D9E3"/>
                                    <w:right w:val="single" w:sz="2" w:space="0" w:color="D9D9E3"/>
                                  </w:divBdr>
                                  <w:divsChild>
                                    <w:div w:id="180014450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1680616791">
      <w:bodyDiv w:val="1"/>
      <w:marLeft w:val="0"/>
      <w:marRight w:val="0"/>
      <w:marTop w:val="0"/>
      <w:marBottom w:val="0"/>
      <w:divBdr>
        <w:top w:val="none" w:sz="0" w:space="0" w:color="auto"/>
        <w:left w:val="none" w:sz="0" w:space="0" w:color="auto"/>
        <w:bottom w:val="none" w:sz="0" w:space="0" w:color="auto"/>
        <w:right w:val="none" w:sz="0" w:space="0" w:color="auto"/>
      </w:divBdr>
    </w:div>
    <w:div w:id="1768161691">
      <w:bodyDiv w:val="1"/>
      <w:marLeft w:val="0"/>
      <w:marRight w:val="0"/>
      <w:marTop w:val="0"/>
      <w:marBottom w:val="0"/>
      <w:divBdr>
        <w:top w:val="none" w:sz="0" w:space="0" w:color="auto"/>
        <w:left w:val="none" w:sz="0" w:space="0" w:color="auto"/>
        <w:bottom w:val="none" w:sz="0" w:space="0" w:color="auto"/>
        <w:right w:val="none" w:sz="0" w:space="0" w:color="auto"/>
      </w:divBdr>
      <w:divsChild>
        <w:div w:id="1322320086">
          <w:marLeft w:val="0"/>
          <w:marRight w:val="0"/>
          <w:marTop w:val="0"/>
          <w:marBottom w:val="0"/>
          <w:divBdr>
            <w:top w:val="none" w:sz="0" w:space="0" w:color="auto"/>
            <w:left w:val="none" w:sz="0" w:space="0" w:color="auto"/>
            <w:bottom w:val="none" w:sz="0" w:space="0" w:color="auto"/>
            <w:right w:val="none" w:sz="0" w:space="0" w:color="auto"/>
          </w:divBdr>
        </w:div>
        <w:div w:id="208686199">
          <w:marLeft w:val="0"/>
          <w:marRight w:val="0"/>
          <w:marTop w:val="0"/>
          <w:marBottom w:val="0"/>
          <w:divBdr>
            <w:top w:val="none" w:sz="0" w:space="0" w:color="auto"/>
            <w:left w:val="none" w:sz="0" w:space="0" w:color="auto"/>
            <w:bottom w:val="none" w:sz="0" w:space="0" w:color="auto"/>
            <w:right w:val="none" w:sz="0" w:space="0" w:color="auto"/>
          </w:divBdr>
        </w:div>
        <w:div w:id="19092277">
          <w:marLeft w:val="0"/>
          <w:marRight w:val="0"/>
          <w:marTop w:val="0"/>
          <w:marBottom w:val="0"/>
          <w:divBdr>
            <w:top w:val="none" w:sz="0" w:space="0" w:color="auto"/>
            <w:left w:val="none" w:sz="0" w:space="0" w:color="auto"/>
            <w:bottom w:val="none" w:sz="0" w:space="0" w:color="auto"/>
            <w:right w:val="none" w:sz="0" w:space="0" w:color="auto"/>
          </w:divBdr>
        </w:div>
        <w:div w:id="803159134">
          <w:marLeft w:val="0"/>
          <w:marRight w:val="0"/>
          <w:marTop w:val="0"/>
          <w:marBottom w:val="0"/>
          <w:divBdr>
            <w:top w:val="none" w:sz="0" w:space="0" w:color="auto"/>
            <w:left w:val="none" w:sz="0" w:space="0" w:color="auto"/>
            <w:bottom w:val="none" w:sz="0" w:space="0" w:color="auto"/>
            <w:right w:val="none" w:sz="0" w:space="0" w:color="auto"/>
          </w:divBdr>
        </w:div>
        <w:div w:id="254872706">
          <w:marLeft w:val="0"/>
          <w:marRight w:val="0"/>
          <w:marTop w:val="0"/>
          <w:marBottom w:val="0"/>
          <w:divBdr>
            <w:top w:val="none" w:sz="0" w:space="0" w:color="auto"/>
            <w:left w:val="none" w:sz="0" w:space="0" w:color="auto"/>
            <w:bottom w:val="none" w:sz="0" w:space="0" w:color="auto"/>
            <w:right w:val="none" w:sz="0" w:space="0" w:color="auto"/>
          </w:divBdr>
        </w:div>
        <w:div w:id="1475946236">
          <w:marLeft w:val="0"/>
          <w:marRight w:val="0"/>
          <w:marTop w:val="0"/>
          <w:marBottom w:val="0"/>
          <w:divBdr>
            <w:top w:val="none" w:sz="0" w:space="0" w:color="auto"/>
            <w:left w:val="none" w:sz="0" w:space="0" w:color="auto"/>
            <w:bottom w:val="none" w:sz="0" w:space="0" w:color="auto"/>
            <w:right w:val="none" w:sz="0" w:space="0" w:color="auto"/>
          </w:divBdr>
        </w:div>
        <w:div w:id="831333555">
          <w:marLeft w:val="0"/>
          <w:marRight w:val="0"/>
          <w:marTop w:val="0"/>
          <w:marBottom w:val="0"/>
          <w:divBdr>
            <w:top w:val="none" w:sz="0" w:space="0" w:color="auto"/>
            <w:left w:val="none" w:sz="0" w:space="0" w:color="auto"/>
            <w:bottom w:val="none" w:sz="0" w:space="0" w:color="auto"/>
            <w:right w:val="none" w:sz="0" w:space="0" w:color="auto"/>
          </w:divBdr>
        </w:div>
        <w:div w:id="1984037059">
          <w:marLeft w:val="0"/>
          <w:marRight w:val="0"/>
          <w:marTop w:val="0"/>
          <w:marBottom w:val="0"/>
          <w:divBdr>
            <w:top w:val="none" w:sz="0" w:space="0" w:color="auto"/>
            <w:left w:val="none" w:sz="0" w:space="0" w:color="auto"/>
            <w:bottom w:val="none" w:sz="0" w:space="0" w:color="auto"/>
            <w:right w:val="none" w:sz="0" w:space="0" w:color="auto"/>
          </w:divBdr>
        </w:div>
        <w:div w:id="1080519293">
          <w:marLeft w:val="0"/>
          <w:marRight w:val="0"/>
          <w:marTop w:val="0"/>
          <w:marBottom w:val="0"/>
          <w:divBdr>
            <w:top w:val="none" w:sz="0" w:space="0" w:color="auto"/>
            <w:left w:val="none" w:sz="0" w:space="0" w:color="auto"/>
            <w:bottom w:val="none" w:sz="0" w:space="0" w:color="auto"/>
            <w:right w:val="none" w:sz="0" w:space="0" w:color="auto"/>
          </w:divBdr>
        </w:div>
        <w:div w:id="1749837504">
          <w:marLeft w:val="0"/>
          <w:marRight w:val="0"/>
          <w:marTop w:val="0"/>
          <w:marBottom w:val="0"/>
          <w:divBdr>
            <w:top w:val="none" w:sz="0" w:space="0" w:color="auto"/>
            <w:left w:val="none" w:sz="0" w:space="0" w:color="auto"/>
            <w:bottom w:val="none" w:sz="0" w:space="0" w:color="auto"/>
            <w:right w:val="none" w:sz="0" w:space="0" w:color="auto"/>
          </w:divBdr>
        </w:div>
      </w:divsChild>
    </w:div>
    <w:div w:id="1874540167">
      <w:bodyDiv w:val="1"/>
      <w:marLeft w:val="0"/>
      <w:marRight w:val="0"/>
      <w:marTop w:val="0"/>
      <w:marBottom w:val="0"/>
      <w:divBdr>
        <w:top w:val="none" w:sz="0" w:space="0" w:color="auto"/>
        <w:left w:val="none" w:sz="0" w:space="0" w:color="auto"/>
        <w:bottom w:val="none" w:sz="0" w:space="0" w:color="auto"/>
        <w:right w:val="none" w:sz="0" w:space="0" w:color="auto"/>
      </w:divBdr>
    </w:div>
    <w:div w:id="2012220807">
      <w:bodyDiv w:val="1"/>
      <w:marLeft w:val="0"/>
      <w:marRight w:val="0"/>
      <w:marTop w:val="0"/>
      <w:marBottom w:val="0"/>
      <w:divBdr>
        <w:top w:val="none" w:sz="0" w:space="0" w:color="auto"/>
        <w:left w:val="none" w:sz="0" w:space="0" w:color="auto"/>
        <w:bottom w:val="none" w:sz="0" w:space="0" w:color="auto"/>
        <w:right w:val="none" w:sz="0" w:space="0" w:color="auto"/>
      </w:divBdr>
    </w:div>
    <w:div w:id="2046363389">
      <w:bodyDiv w:val="1"/>
      <w:marLeft w:val="0"/>
      <w:marRight w:val="0"/>
      <w:marTop w:val="0"/>
      <w:marBottom w:val="0"/>
      <w:divBdr>
        <w:top w:val="none" w:sz="0" w:space="0" w:color="auto"/>
        <w:left w:val="none" w:sz="0" w:space="0" w:color="auto"/>
        <w:bottom w:val="none" w:sz="0" w:space="0" w:color="auto"/>
        <w:right w:val="none" w:sz="0" w:space="0" w:color="auto"/>
      </w:divBdr>
    </w:div>
    <w:div w:id="2140368117">
      <w:bodyDiv w:val="1"/>
      <w:marLeft w:val="0"/>
      <w:marRight w:val="0"/>
      <w:marTop w:val="0"/>
      <w:marBottom w:val="0"/>
      <w:divBdr>
        <w:top w:val="none" w:sz="0" w:space="0" w:color="auto"/>
        <w:left w:val="none" w:sz="0" w:space="0" w:color="auto"/>
        <w:bottom w:val="none" w:sz="0" w:space="0" w:color="auto"/>
        <w:right w:val="none" w:sz="0" w:space="0" w:color="auto"/>
      </w:divBdr>
      <w:divsChild>
        <w:div w:id="41950281">
          <w:marLeft w:val="0"/>
          <w:marRight w:val="0"/>
          <w:marTop w:val="0"/>
          <w:marBottom w:val="0"/>
          <w:divBdr>
            <w:top w:val="none" w:sz="0" w:space="0" w:color="auto"/>
            <w:left w:val="none" w:sz="0" w:space="0" w:color="auto"/>
            <w:bottom w:val="none" w:sz="0" w:space="0" w:color="auto"/>
            <w:right w:val="none" w:sz="0" w:space="0" w:color="auto"/>
          </w:divBdr>
        </w:div>
        <w:div w:id="955596868">
          <w:marLeft w:val="0"/>
          <w:marRight w:val="0"/>
          <w:marTop w:val="0"/>
          <w:marBottom w:val="0"/>
          <w:divBdr>
            <w:top w:val="none" w:sz="0" w:space="0" w:color="auto"/>
            <w:left w:val="none" w:sz="0" w:space="0" w:color="auto"/>
            <w:bottom w:val="none" w:sz="0" w:space="0" w:color="auto"/>
            <w:right w:val="none" w:sz="0" w:space="0" w:color="auto"/>
          </w:divBdr>
        </w:div>
        <w:div w:id="1017848878">
          <w:marLeft w:val="0"/>
          <w:marRight w:val="0"/>
          <w:marTop w:val="0"/>
          <w:marBottom w:val="0"/>
          <w:divBdr>
            <w:top w:val="none" w:sz="0" w:space="0" w:color="auto"/>
            <w:left w:val="none" w:sz="0" w:space="0" w:color="auto"/>
            <w:bottom w:val="none" w:sz="0" w:space="0" w:color="auto"/>
            <w:right w:val="none" w:sz="0" w:space="0" w:color="auto"/>
          </w:divBdr>
        </w:div>
        <w:div w:id="1947805395">
          <w:marLeft w:val="0"/>
          <w:marRight w:val="0"/>
          <w:marTop w:val="0"/>
          <w:marBottom w:val="0"/>
          <w:divBdr>
            <w:top w:val="none" w:sz="0" w:space="0" w:color="auto"/>
            <w:left w:val="none" w:sz="0" w:space="0" w:color="auto"/>
            <w:bottom w:val="none" w:sz="0" w:space="0" w:color="auto"/>
            <w:right w:val="none" w:sz="0" w:space="0" w:color="auto"/>
          </w:divBdr>
        </w:div>
        <w:div w:id="196084351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footer" Target="footer7.xml"/><Relationship Id="rId21" Type="http://schemas.openxmlformats.org/officeDocument/2006/relationships/header" Target="header5.xml"/><Relationship Id="rId34" Type="http://schemas.openxmlformats.org/officeDocument/2006/relationships/image" Target="media/image9.png"/><Relationship Id="rId42" Type="http://schemas.openxmlformats.org/officeDocument/2006/relationships/hyperlink" Target="https://faolex.fao.org/docs/pdf/KEN210108.pdf" TargetMode="External"/><Relationship Id="rId47" Type="http://schemas.openxmlformats.org/officeDocument/2006/relationships/hyperlink" Target="https://unfccc.int/sites/default/files/resource/Kenya_NAP.pdf" TargetMode="External"/><Relationship Id="rId50" Type="http://schemas.openxmlformats.org/officeDocument/2006/relationships/hyperlink" Target="https://www.bankingsupervision.europa.eu/ecb/pub/pdf/ssm.climateriskstresstest2021~a4de107198.en.pdf" TargetMode="External"/><Relationship Id="rId55" Type="http://schemas.openxmlformats.org/officeDocument/2006/relationships/hyperlink" Target="https://www.nature.com/articles/d41586-023-02557-x" TargetMode="External"/><Relationship Id="rId63" Type="http://schemas.openxmlformats.org/officeDocument/2006/relationships/footer" Target="footer10.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image" Target="media/image4.png"/><Relationship Id="rId11" Type="http://schemas.openxmlformats.org/officeDocument/2006/relationships/image" Target="media/image1.png"/><Relationship Id="rId24" Type="http://schemas.openxmlformats.org/officeDocument/2006/relationships/header" Target="header6.xml"/><Relationship Id="rId32" Type="http://schemas.openxmlformats.org/officeDocument/2006/relationships/image" Target="media/image7.png"/><Relationship Id="rId37" Type="http://schemas.openxmlformats.org/officeDocument/2006/relationships/hyperlink" Target="https://www.eba.europa.eu/sites/default/files/document_library/Publications/Reports/2021/1001589/Mapping%20Climate%20Risk%20-%20Main%20findings%20from%20the%20EU-wide%20pilot%20exercise%20on%20climate%20risk.pdf" TargetMode="External"/><Relationship Id="rId40" Type="http://schemas.openxmlformats.org/officeDocument/2006/relationships/hyperlink" Target="https://sfi.kba.co.ke/uploads/sfi-booklet.pdf" TargetMode="External"/><Relationship Id="rId45" Type="http://schemas.openxmlformats.org/officeDocument/2006/relationships/hyperlink" Target="https://assets.publishing.service.gov.uk/media/57a08b3eed915d3cfd000c0a/60871-kenya-climatechange1.pdf" TargetMode="External"/><Relationship Id="rId53" Type="http://schemas.openxmlformats.org/officeDocument/2006/relationships/hyperlink" Target="https://climate.moodys.com/climate-blog/heat-alert-assessing-heat-stress-risk-impacts-with-moodys-climate-on-demand-pro" TargetMode="External"/><Relationship Id="rId58" Type="http://schemas.openxmlformats.org/officeDocument/2006/relationships/hyperlink" Target="https://www.undrr.org/building-risk-knowledge/global-risk-analysis-and-reporting" TargetMode="External"/><Relationship Id="rId66"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hyperlink" Target="https://climateknowledgeportal.worldbank.org/country/kenya" TargetMode="External"/><Relationship Id="rId19" Type="http://schemas.openxmlformats.org/officeDocument/2006/relationships/footer" Target="footer3.xml"/><Relationship Id="rId14" Type="http://schemas.openxmlformats.org/officeDocument/2006/relationships/header" Target="header1.xml"/><Relationship Id="rId22" Type="http://schemas.openxmlformats.org/officeDocument/2006/relationships/footer" Target="footer4.xml"/><Relationship Id="rId27" Type="http://schemas.openxmlformats.org/officeDocument/2006/relationships/footer" Target="footer8.xml"/><Relationship Id="rId30" Type="http://schemas.openxmlformats.org/officeDocument/2006/relationships/image" Target="media/image5.png"/><Relationship Id="rId35" Type="http://schemas.openxmlformats.org/officeDocument/2006/relationships/hyperlink" Target="https://www.lse.ac.uk/africa/assets/Documents/AFC-and-LSE-Report-Implications-for-Africa-of-a-CBAM-in-the-EU.pdf" TargetMode="External"/><Relationship Id="rId43" Type="http://schemas.openxmlformats.org/officeDocument/2006/relationships/hyperlink" Target="https://www.ijsr.net/archive/v4i6/SUB155079.pdf" TargetMode="External"/><Relationship Id="rId48" Type="http://schemas.openxmlformats.org/officeDocument/2006/relationships/hyperlink" Target="https://climateknowledgeportal.worldbank.org/sites/default/files/2021-05/15724-WB_Kenya%20Country%20Profile-WEB.pdf" TargetMode="External"/><Relationship Id="rId56" Type="http://schemas.openxmlformats.org/officeDocument/2006/relationships/hyperlink" Target="https://opendata.rcmrd.org/search?q=kenya&amp;tags=climate" TargetMode="External"/><Relationship Id="rId64" Type="http://schemas.openxmlformats.org/officeDocument/2006/relationships/footer" Target="footer11.xml"/><Relationship Id="rId8" Type="http://schemas.openxmlformats.org/officeDocument/2006/relationships/webSettings" Target="webSettings.xml"/><Relationship Id="rId51" Type="http://schemas.openxmlformats.org/officeDocument/2006/relationships/hyperlink" Target="https://www.ifrs.org/issued-standards/ifrs-sustainability-standards-navigator/ifrs-s2-climate-related-disclosures/"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footer" Target="footer2.xml"/><Relationship Id="rId25" Type="http://schemas.openxmlformats.org/officeDocument/2006/relationships/footer" Target="footer6.xml"/><Relationship Id="rId33" Type="http://schemas.openxmlformats.org/officeDocument/2006/relationships/image" Target="media/image8.png"/><Relationship Id="rId38" Type="http://schemas.openxmlformats.org/officeDocument/2006/relationships/hyperlink" Target="https://www.lse.ac.uk/africa/assets/Documents/AFC-and-LSE-Report-Implications-for-Africa-of-a-CBAM-in-the-EU.pdf" TargetMode="External"/><Relationship Id="rId46" Type="http://schemas.openxmlformats.org/officeDocument/2006/relationships/hyperlink" Target="https://unfccc.int/documents/628003" TargetMode="External"/><Relationship Id="rId59" Type="http://schemas.openxmlformats.org/officeDocument/2006/relationships/hyperlink" Target="https://maps.unccd.int/drought/" TargetMode="External"/><Relationship Id="rId67" Type="http://schemas.openxmlformats.org/officeDocument/2006/relationships/theme" Target="theme/theme1.xml"/><Relationship Id="rId20" Type="http://schemas.openxmlformats.org/officeDocument/2006/relationships/header" Target="header4.xml"/><Relationship Id="rId41" Type="http://schemas.openxmlformats.org/officeDocument/2006/relationships/hyperlink" Target="http://kenyalaw.org/kl/fileadmin/pdfdownloads/Acts/2023/TheClimateChange_Amendment_Act_No.9of2023.pdf" TargetMode="External"/><Relationship Id="rId54" Type="http://schemas.openxmlformats.org/officeDocument/2006/relationships/hyperlink" Target="https://www.earthdata.nasa.gov/learn/sensing-our-planet/war-on-hunger" TargetMode="External"/><Relationship Id="rId62" Type="http://schemas.openxmlformats.org/officeDocument/2006/relationships/hyperlink" Target="https://www.researchgate.net/figure/Contribution-to-GDP-of-Kenya-for-selected-sectors_tbl3_319481695"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footer" Target="footer5.xml"/><Relationship Id="rId28" Type="http://schemas.openxmlformats.org/officeDocument/2006/relationships/footer" Target="footer9.xml"/><Relationship Id="rId36" Type="http://schemas.openxmlformats.org/officeDocument/2006/relationships/hyperlink" Target="https://www.centralbank.go.ke/wp-content/uploads/2021/10/Guidance-on-Climate-Related-Risk-Management.pdf" TargetMode="External"/><Relationship Id="rId49" Type="http://schemas.openxmlformats.org/officeDocument/2006/relationships/hyperlink" Target="https://www.who.int/publications/i/item/9789241507691" TargetMode="External"/><Relationship Id="rId57" Type="http://schemas.openxmlformats.org/officeDocument/2006/relationships/hyperlink" Target="https://www.swissre.com/reinsurance/property-and-casualty/solutions/property-solutions/catnet.html" TargetMode="External"/><Relationship Id="rId10" Type="http://schemas.openxmlformats.org/officeDocument/2006/relationships/endnotes" Target="endnotes.xml"/><Relationship Id="rId31" Type="http://schemas.openxmlformats.org/officeDocument/2006/relationships/image" Target="media/image6.png"/><Relationship Id="rId44" Type="http://schemas.openxmlformats.org/officeDocument/2006/relationships/hyperlink" Target="https://unfccc.int/resource/docs/natc/kennc2.pdf" TargetMode="External"/><Relationship Id="rId52" Type="http://schemas.openxmlformats.org/officeDocument/2006/relationships/hyperlink" Target="http://kmddl.meteo.go.ke:8081/maproom/Climatology/" TargetMode="External"/><Relationship Id="rId60" Type="http://schemas.openxmlformats.org/officeDocument/2006/relationships/hyperlink" Target="https://www.climatelinks.org/resources/kenya-climate-change-fact-sheet" TargetMode="External"/><Relationship Id="rId65" Type="http://schemas.openxmlformats.org/officeDocument/2006/relationships/footer" Target="footer1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header" Target="header3.xml"/><Relationship Id="rId39" Type="http://schemas.openxmlformats.org/officeDocument/2006/relationships/hyperlink" Target="https://www.ipcc.ch/site/assets/uploads/2018/02/ar5_wgII_spm_en.pdf"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unfccc.int/sites/default/files/NDC/2022-06/Kenya%27s%20First%20%20NDC%20%28updated%20version%29.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7AE9AADD9055F48A76998BB8EEE9D03" ma:contentTypeVersion="17" ma:contentTypeDescription="Create a new document." ma:contentTypeScope="" ma:versionID="34daa4eba76a959fd33135e72b4354a3">
  <xsd:schema xmlns:xsd="http://www.w3.org/2001/XMLSchema" xmlns:xs="http://www.w3.org/2001/XMLSchema" xmlns:p="http://schemas.microsoft.com/office/2006/metadata/properties" xmlns:ns2="11876741-4e3d-41e4-924e-432c5fed92e0" xmlns:ns3="0fb846bb-49da-442d-ac44-1711760f675e" targetNamespace="http://schemas.microsoft.com/office/2006/metadata/properties" ma:root="true" ma:fieldsID="06f9d7b3ef7b8eda0531653a10ee56b7" ns2:_="" ns3:_="">
    <xsd:import namespace="11876741-4e3d-41e4-924e-432c5fed92e0"/>
    <xsd:import namespace="0fb846bb-49da-442d-ac44-1711760f675e"/>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ObjectDetectorVersions" minOccurs="0"/>
                <xsd:element ref="ns2:MediaLengthInSeconds" minOccurs="0"/>
                <xsd:element ref="ns2:MediaServiceSearchProperties" minOccurs="0"/>
                <xsd:element ref="ns2:MediaServiceLocation" minOccurs="0"/>
                <xsd:element ref="ns2:Hyperlink"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1876741-4e3d-41e4-924e-432c5fed92e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43e14187-b4d4-4fc9-8c4a-20dc3ccbfd5c"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indexed="true" ma:internalName="MediaServiceLocation" ma:readOnly="true">
      <xsd:simpleType>
        <xsd:restriction base="dms:Text"/>
      </xsd:simpleType>
    </xsd:element>
    <xsd:element name="Hyperlink" ma:index="23" nillable="true" ma:displayName="Hyperlink" ma:format="Hyperlink" ma:internalName="Hyperlink">
      <xsd:complexType>
        <xsd:complexContent>
          <xsd:extension base="dms:URL">
            <xsd:sequence>
              <xsd:element name="Url" type="dms:ValidUrl" minOccurs="0" nillable="true"/>
              <xsd:element name="Description" type="xsd:string" nillable="true"/>
            </xsd:sequence>
          </xsd:extension>
        </xsd:complexContent>
      </xsd:complexType>
    </xsd:element>
    <xsd:element name="_Flow_SignoffStatus" ma:index="24" nillable="true" ma:displayName="Sign-off status" ma:internalName="Sign_x002d_off_x0020_status">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fb846bb-49da-442d-ac44-1711760f675e"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85a556c2-e159-4ae1-86b9-5c188c9cb811}" ma:internalName="TaxCatchAll" ma:showField="CatchAllData" ma:web="0fb846bb-49da-442d-ac44-1711760f675e">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CHICAGO.XSL" StyleName="Chicago" Version="16"/>
</file>

<file path=customXml/item3.xml><?xml version="1.0" encoding="utf-8"?>
<p:properties xmlns:p="http://schemas.microsoft.com/office/2006/metadata/properties" xmlns:xsi="http://www.w3.org/2001/XMLSchema-instance" xmlns:pc="http://schemas.microsoft.com/office/infopath/2007/PartnerControls">
  <documentManagement>
    <TaxCatchAll xmlns="0fb846bb-49da-442d-ac44-1711760f675e" xsi:nil="true"/>
    <lcf76f155ced4ddcb4097134ff3c332f xmlns="11876741-4e3d-41e4-924e-432c5fed92e0">
      <Terms xmlns="http://schemas.microsoft.com/office/infopath/2007/PartnerControls"/>
    </lcf76f155ced4ddcb4097134ff3c332f>
    <Hyperlink xmlns="11876741-4e3d-41e4-924e-432c5fed92e0">
      <Url xsi:nil="true"/>
      <Description xsi:nil="true"/>
    </Hyperlink>
    <_Flow_SignoffStatus xmlns="11876741-4e3d-41e4-924e-432c5fed92e0"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D14A136-4DAC-4BD9-96DD-3948A5FF45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1876741-4e3d-41e4-924e-432c5fed92e0"/>
    <ds:schemaRef ds:uri="0fb846bb-49da-442d-ac44-1711760f675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3AE0EF5-8E19-4455-8536-CC4EAEACD3FE}">
  <ds:schemaRefs>
    <ds:schemaRef ds:uri="http://schemas.openxmlformats.org/officeDocument/2006/bibliography"/>
  </ds:schemaRefs>
</ds:datastoreItem>
</file>

<file path=customXml/itemProps3.xml><?xml version="1.0" encoding="utf-8"?>
<ds:datastoreItem xmlns:ds="http://schemas.openxmlformats.org/officeDocument/2006/customXml" ds:itemID="{CC9E43C9-8C57-4DB7-B024-C4921515B8FD}">
  <ds:schemaRefs>
    <ds:schemaRef ds:uri="http://schemas.microsoft.com/office/2006/metadata/properties"/>
    <ds:schemaRef ds:uri="http://schemas.microsoft.com/office/infopath/2007/PartnerControls"/>
    <ds:schemaRef ds:uri="0fb846bb-49da-442d-ac44-1711760f675e"/>
    <ds:schemaRef ds:uri="11876741-4e3d-41e4-924e-432c5fed92e0"/>
  </ds:schemaRefs>
</ds:datastoreItem>
</file>

<file path=customXml/itemProps4.xml><?xml version="1.0" encoding="utf-8"?>
<ds:datastoreItem xmlns:ds="http://schemas.openxmlformats.org/officeDocument/2006/customXml" ds:itemID="{729F178F-D6C3-4AF7-91BE-48EB9388B832}">
  <ds:schemaRefs>
    <ds:schemaRef ds:uri="http://schemas.microsoft.com/sharepoint/v3/contenttype/forms"/>
  </ds:schemaRefs>
</ds:datastoreItem>
</file>

<file path=docMetadata/LabelInfo.xml><?xml version="1.0" encoding="utf-8"?>
<clbl:labelList xmlns:clbl="http://schemas.microsoft.com/office/2020/mipLabelMetadata">
  <clbl:label id="{228589f0-3068-4eaa-9081-95b82895b3a2}" enabled="1" method="Standard" siteId="{7bc03988-1063-4a03-b76c-030695984be0}" contentBits="2" removed="0"/>
</clbl:labelList>
</file>

<file path=docProps/app.xml><?xml version="1.0" encoding="utf-8"?>
<Properties xmlns="http://schemas.openxmlformats.org/officeDocument/2006/extended-properties" xmlns:vt="http://schemas.openxmlformats.org/officeDocument/2006/docPropsVTypes">
  <Template>Normal</Template>
  <TotalTime>0</TotalTime>
  <Pages>6</Pages>
  <Words>8203</Words>
  <Characters>46763</Characters>
  <Application>Microsoft Office Word</Application>
  <DocSecurity>0</DocSecurity>
  <Lines>389</Lines>
  <Paragraphs>109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54857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Jackie Stone</dc:creator>
  <cp:keywords/>
  <dc:description/>
  <cp:lastModifiedBy>Reuben K. Chepngar</cp:lastModifiedBy>
  <cp:revision>2</cp:revision>
  <cp:lastPrinted>2024-08-22T14:43:00Z</cp:lastPrinted>
  <dcterms:created xsi:type="dcterms:W3CDTF">2024-10-14T12:40:00Z</dcterms:created>
  <dcterms:modified xsi:type="dcterms:W3CDTF">2024-10-14T12:40:00Z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6186c77b2832bc9b340b5a17af6ea93c8ee754ce41dd08181989330c9b9b73f1</vt:lpwstr>
  </property>
  <property fmtid="{D5CDD505-2E9C-101B-9397-08002B2CF9AE}" pid="3" name="ContentTypeId">
    <vt:lpwstr>0x01010007AE9AADD9055F48A76998BB8EEE9D03</vt:lpwstr>
  </property>
  <property fmtid="{D5CDD505-2E9C-101B-9397-08002B2CF9AE}" pid="4" name="MediaServiceImageTags">
    <vt:lpwstr/>
  </property>
  <property fmtid="{D5CDD505-2E9C-101B-9397-08002B2CF9AE}" pid="5" name="ClassificationContentMarkingFooterShapeIds">
    <vt:lpwstr>45edd093,66ae5249,10a15c11,3b36bb7b,6f16abc9,46ad73c9,5a923e87,660812ef,23c04a24,4a4c13aa,3f991140,c74aa4f</vt:lpwstr>
  </property>
  <property fmtid="{D5CDD505-2E9C-101B-9397-08002B2CF9AE}" pid="6" name="ClassificationContentMarkingFooterFontProps">
    <vt:lpwstr>#0000ff,9,Calibri</vt:lpwstr>
  </property>
  <property fmtid="{D5CDD505-2E9C-101B-9397-08002B2CF9AE}" pid="7" name="ClassificationContentMarkingFooterText">
    <vt:lpwstr>C2: CBK - Official</vt:lpwstr>
  </property>
</Properties>
</file>